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AI Legal Advisor Opinion: "Apa syaeag seseorang jika ia ingin menjual properti miliknya namun ia juga belum melunasi cicilan properti tersebut, dapatkah orang itu menjualnya?"</w:t>
      </w:r>
    </w:p>
    <w:p>
      <w:pPr>
        <w:spacing w:before="0" w:after="360"/>
        <w:jc w:val="center"/>
      </w:pPr>
      <w:r>
        <w:rPr>
          <w:rFonts w:ascii="Arial" w:hAnsi="Arial"/>
          <w:color w:val="64748B"/>
          <w:sz w:val="17"/>
        </w:rPr>
        <w:t>CATEGORY: GENERAL | ENGINE: GEMINI | 04 November 2026</w:t>
      </w:r>
    </w:p>
    <w:p>
      <w:pPr>
        <w:spacing w:before="240" w:after="120"/>
      </w:pPr>
      <w:r>
        <w:rPr>
          <w:rFonts w:ascii="Arial" w:hAnsi="Arial"/>
          <w:b/>
          <w:color w:val="0F172A"/>
          <w:sz w:val="24"/>
        </w:rPr>
        <w:t>Analisis Hukum &amp; Pendapat Statuta / Legal Analysis</w:t>
      </w:r>
    </w:p>
    <w:p>
      <w:pPr>
        <w:spacing w:before="0" w:after="80" w:line="276" w:lineRule="auto"/>
      </w:pPr>
      <w:r>
        <w:rPr>
          <w:rFonts w:ascii="Arial" w:hAnsi="Arial"/>
          <w:color w:val="1E293B"/>
          <w:sz w:val="20"/>
        </w:rPr>
        <w:t>Berikut adalah kajian hukum mendalam dari **hukum.live** mengenai syarat dan mekanisme penjualan properti yang masih dalam status cicilan (KPR/KPA/In-house Developer).</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1. Executive Summary / Quick Answer</w:t>
      </w:r>
    </w:p>
    <w:p>
      <w:pPr>
        <w:spacing w:before="0" w:after="80"/>
      </w:pPr>
    </w:p>
    <w:p>
      <w:pPr>
        <w:spacing w:before="0" w:after="80" w:line="276" w:lineRule="auto"/>
      </w:pPr>
      <w:r>
        <w:rPr>
          <w:rFonts w:ascii="Arial" w:hAnsi="Arial"/>
          <w:color w:val="1E293B"/>
          <w:sz w:val="20"/>
        </w:rPr>
        <w:t xml:space="preserve">**Bisa, namun tidak dapat dilakukan secara sepihak.** </w:t>
      </w:r>
    </w:p>
    <w:p>
      <w:pPr>
        <w:spacing w:before="0" w:after="80" w:line="276" w:lineRule="auto"/>
      </w:pPr>
      <w:r>
        <w:rPr>
          <w:rFonts w:ascii="Arial" w:hAnsi="Arial"/>
          <w:color w:val="1E293B"/>
          <w:sz w:val="20"/>
        </w:rPr>
        <w:t xml:space="preserve">Seseorang diperbolehkan secara hukum menjual properti yang cicilannya belum lunas, **dengan syarat mutlak** harus melibatkan dan memperoleh persetujuan tertulis dari pihak kreditur (Bank/Lembaga Keuangan atau *Developer*). </w:t>
      </w:r>
    </w:p>
    <w:p>
      <w:pPr>
        <w:spacing w:before="0" w:after="80"/>
      </w:pPr>
    </w:p>
    <w:p>
      <w:pPr>
        <w:spacing w:before="0" w:after="80" w:line="276" w:lineRule="auto"/>
      </w:pPr>
      <w:r>
        <w:rPr>
          <w:rFonts w:ascii="Arial" w:hAnsi="Arial"/>
          <w:color w:val="1E293B"/>
          <w:sz w:val="20"/>
        </w:rPr>
        <w:t>Properti yang masih dalam masa cicilan KPR terikat jaminan kebendaan (**Hak Tanggungan**), dan sertifikat aslinya dipegang oleh kreditur. Penjualan hanya sah dan aman secara hukum jika dilakukan melalui 2 (dua) mekanisme utama:</w:t>
      </w:r>
    </w:p>
    <w:p>
      <w:pPr>
        <w:spacing w:before="0" w:after="80" w:line="276" w:lineRule="auto"/>
      </w:pPr>
      <w:r>
        <w:rPr>
          <w:rFonts w:ascii="Arial" w:hAnsi="Arial"/>
          <w:color w:val="1E293B"/>
          <w:sz w:val="20"/>
        </w:rPr>
        <w:t>1. **Alih Debitur / Over Kredit Resmi** melalui persetujuan kreditur; atau</w:t>
      </w:r>
    </w:p>
    <w:p>
      <w:pPr>
        <w:spacing w:before="0" w:after="80" w:line="276" w:lineRule="auto"/>
      </w:pPr>
      <w:r>
        <w:rPr>
          <w:rFonts w:ascii="Arial" w:hAnsi="Arial"/>
          <w:color w:val="1E293B"/>
          <w:sz w:val="20"/>
        </w:rPr>
        <w:t>2. **Pelunasan Dini (*Early Redemption*)** sebelum penandatanganan Akta Jual Beli (AJB) dan pencoretan Hak Tanggungan (*Roya*).</w:t>
      </w:r>
    </w:p>
    <w:p>
      <w:pPr>
        <w:spacing w:before="0" w:after="80"/>
      </w:pPr>
    </w:p>
    <w:p>
      <w:pPr>
        <w:spacing w:before="0" w:after="80" w:line="276" w:lineRule="auto"/>
      </w:pPr>
      <w:r>
        <w:rPr>
          <w:rFonts w:ascii="Arial" w:hAnsi="Arial"/>
          <w:color w:val="1E293B"/>
          <w:sz w:val="20"/>
        </w:rPr>
        <w:t>Penjualan "di bawah tangan" (hanya menggunakan kuitansi atau akta notaris tanpa persetujuan bank) sangat berisiko, melanggar klausul perjanjian kredit, dan tidak memberikan kepastian hukum bagi pembeli maupun penjual.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2. Relevant Indonesian Legal Framework &amp; Statutory Articles</w:t>
      </w:r>
    </w:p>
    <w:p>
      <w:pPr>
        <w:spacing w:before="0" w:after="80"/>
      </w:pPr>
    </w:p>
    <w:p>
      <w:pPr>
        <w:spacing w:before="0" w:after="80" w:line="276" w:lineRule="auto"/>
      </w:pPr>
      <w:r>
        <w:rPr>
          <w:rFonts w:ascii="Arial" w:hAnsi="Arial"/>
          <w:color w:val="1E293B"/>
          <w:sz w:val="20"/>
        </w:rPr>
        <w:t>1. **Kitab Undang-Undang Hukum Perdata (KUHPerdata):**</w:t>
      </w:r>
    </w:p>
    <w:p>
      <w:pPr>
        <w:spacing w:before="0" w:after="80" w:line="276" w:lineRule="auto"/>
      </w:pPr>
      <w:r>
        <w:rPr>
          <w:rFonts w:ascii="Arial" w:hAnsi="Arial"/>
          <w:color w:val="1E293B"/>
          <w:sz w:val="20"/>
        </w:rPr>
        <w:t xml:space="preserve">   * **Pasal 1320:** Syarat sahnya suatu perjanjian (kesepakatan, kecakapan, suatu hal tertentu, dan sebab yang halal).</w:t>
      </w:r>
    </w:p>
    <w:p>
      <w:pPr>
        <w:spacing w:before="0" w:after="80" w:line="276" w:lineRule="auto"/>
      </w:pPr>
      <w:r>
        <w:rPr>
          <w:rFonts w:ascii="Arial" w:hAnsi="Arial"/>
          <w:color w:val="1E293B"/>
          <w:sz w:val="20"/>
        </w:rPr>
        <w:t xml:space="preserve">   * **Pasal 1338:** Asas *pacta sunt servanda* (perjanjian yang dibuat secara sah berlaku sebagai undang-undang bagi para pembuatnya).</w:t>
      </w:r>
    </w:p>
    <w:p>
      <w:pPr>
        <w:spacing w:before="0" w:after="80" w:line="276" w:lineRule="auto"/>
      </w:pPr>
      <w:r>
        <w:rPr>
          <w:rFonts w:ascii="Arial" w:hAnsi="Arial"/>
          <w:color w:val="1E293B"/>
          <w:sz w:val="20"/>
        </w:rPr>
        <w:t xml:space="preserve">   * **Pasal 1457 &amp; 1471:** Jual beli dan penegasan bahwa penjualan barang milik orang lain/yang bukan hak sepenuhnya adalah batal.</w:t>
      </w:r>
    </w:p>
    <w:p>
      <w:pPr>
        <w:spacing w:before="0" w:after="80"/>
      </w:pPr>
    </w:p>
    <w:p>
      <w:pPr>
        <w:spacing w:before="0" w:after="80" w:line="276" w:lineRule="auto"/>
      </w:pPr>
      <w:r>
        <w:rPr>
          <w:rFonts w:ascii="Arial" w:hAnsi="Arial"/>
          <w:color w:val="1E293B"/>
          <w:sz w:val="20"/>
        </w:rPr>
        <w:t>2. **Undang-Undang No. 4 Tahun 1996 tentang Hak Tanggungan atas Tanah Beserta Benda-Benda yang Berkaitan dengan Tanah (UUHT):**</w:t>
      </w:r>
    </w:p>
    <w:p>
      <w:pPr>
        <w:spacing w:before="0" w:after="80" w:line="276" w:lineRule="auto"/>
      </w:pPr>
      <w:r>
        <w:rPr>
          <w:rFonts w:ascii="Arial" w:hAnsi="Arial"/>
          <w:color w:val="1E293B"/>
          <w:sz w:val="20"/>
        </w:rPr>
        <w:t xml:space="preserve">   * **Pasal 8 &amp; Pasal 11 ayat (2) huruf g:** Mengenai janji-janji dalam Akta Pemberian Hak Tanggungan (APHT), khususnya janji bahwa pemberi Hak Tanggungan **tidak akan mengasingkan, memindahkan, menyewakan, atau membebankan lagi** objek Hak Tanggungan tanpa persetujuan tertulis terlebih dahulu dari pemegang Hak Tanggungan (Bank).</w:t>
      </w:r>
    </w:p>
    <w:p>
      <w:pPr>
        <w:spacing w:before="0" w:after="80"/>
      </w:pPr>
    </w:p>
    <w:p>
      <w:pPr>
        <w:spacing w:before="0" w:after="80" w:line="276" w:lineRule="auto"/>
      </w:pPr>
      <w:r>
        <w:rPr>
          <w:rFonts w:ascii="Arial" w:hAnsi="Arial"/>
          <w:color w:val="1E293B"/>
          <w:sz w:val="20"/>
        </w:rPr>
        <w:t>3. **Peraturan Pemerintah No. 24 Tahun 1997 tentang Pendaftaran Tanah:**</w:t>
      </w:r>
    </w:p>
    <w:p>
      <w:pPr>
        <w:spacing w:before="0" w:after="80" w:line="276" w:lineRule="auto"/>
      </w:pPr>
      <w:r>
        <w:rPr>
          <w:rFonts w:ascii="Arial" w:hAnsi="Arial"/>
          <w:color w:val="1E293B"/>
          <w:sz w:val="20"/>
        </w:rPr>
        <w:t xml:space="preserve">   * **Pasal 37 ayat (1):** Peralihan hak atas tanah hanya dapat didaftarkan jika dibuktikan dengan akta yang dibuat oleh Pejabat Pembuat Akta Tanah (PPAT), di mana PPAT wajib memeriksa keaslian dan keberadaan sertifikat asli yang bebas sengketa/beban jaminan.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3. In-depth Legal Analysis &amp; Rights of Parties</w:t>
      </w:r>
    </w:p>
    <w:p>
      <w:pPr>
        <w:spacing w:before="0" w:after="80"/>
      </w:pPr>
    </w:p>
    <w:p>
      <w:pPr>
        <w:spacing w:before="160" w:after="80" w:line="276" w:lineRule="auto"/>
      </w:pPr>
      <w:r>
        <w:rPr>
          <w:rFonts w:ascii="Arial" w:hAnsi="Arial"/>
          <w:b/>
          <w:color w:val="0F172A"/>
          <w:sz w:val="21"/>
        </w:rPr>
        <w:t>#### A. Kedudukan Properti yang Masih Dicicil</w:t>
      </w:r>
    </w:p>
    <w:p>
      <w:pPr>
        <w:spacing w:before="0" w:after="80" w:line="276" w:lineRule="auto"/>
      </w:pPr>
      <w:r>
        <w:rPr>
          <w:rFonts w:ascii="Arial" w:hAnsi="Arial"/>
          <w:color w:val="1E293B"/>
          <w:sz w:val="20"/>
        </w:rPr>
        <w:t>Ketika seseorang membeli properti dengan KPR, sertifikat tanah (SHM atau SHGB) telah dibebani **Hak Tanggungan** sebagai jaminan pelunasan utang debitur kepada bank. Konsekuensi yuridisnya:</w:t>
      </w:r>
    </w:p>
    <w:p>
      <w:pPr>
        <w:spacing w:before="0" w:after="80" w:line="276" w:lineRule="auto"/>
      </w:pPr>
      <w:r>
        <w:rPr>
          <w:rFonts w:ascii="Arial" w:hAnsi="Arial"/>
          <w:color w:val="1E293B"/>
          <w:sz w:val="20"/>
        </w:rPr>
        <w:t>* Sertifikat asli disimpan di kantor bank kreditor.</w:t>
      </w:r>
    </w:p>
    <w:p>
      <w:pPr>
        <w:spacing w:before="0" w:after="80" w:line="276" w:lineRule="auto"/>
      </w:pPr>
      <w:r>
        <w:rPr>
          <w:rFonts w:ascii="Arial" w:hAnsi="Arial"/>
          <w:color w:val="1E293B"/>
          <w:sz w:val="20"/>
        </w:rPr>
        <w:t>* Penjual (debitur) terikat klausul larangan mengalihkan objek jaminan tanpa persetujuan bank (*negative covenant* dalam Perjanjian Kredit dan APHT).</w:t>
      </w:r>
    </w:p>
    <w:p>
      <w:pPr>
        <w:spacing w:before="0" w:after="80" w:line="276" w:lineRule="auto"/>
      </w:pPr>
      <w:r>
        <w:rPr>
          <w:rFonts w:ascii="Arial" w:hAnsi="Arial"/>
          <w:color w:val="1E293B"/>
          <w:sz w:val="20"/>
        </w:rPr>
        <w:t>* PPAT **menolak** pembuatan Akta Jual Beli (AJB) tanpa adanya sertifikat asli dan surat keterangan lunas/roya dari bank.</w:t>
      </w:r>
    </w:p>
    <w:p>
      <w:pPr>
        <w:spacing w:before="0" w:after="80"/>
      </w:pPr>
    </w:p>
    <w:p>
      <w:pPr>
        <w:spacing w:before="160" w:after="80" w:line="276" w:lineRule="auto"/>
      </w:pPr>
      <w:r>
        <w:rPr>
          <w:rFonts w:ascii="Arial" w:hAnsi="Arial"/>
          <w:b/>
          <w:color w:val="0F172A"/>
          <w:sz w:val="21"/>
        </w:rPr>
        <w:t>#### B. Pilihan Skema Penjualan yang Sah Secara Hukum</w:t>
      </w:r>
    </w:p>
    <w:p>
      <w:pPr>
        <w:spacing w:before="0" w:after="80"/>
      </w:pPr>
    </w:p>
    <w:p>
      <w:pPr>
        <w:spacing w:before="0" w:after="80" w:line="276" w:lineRule="auto"/>
      </w:pPr>
      <w:r>
        <w:rPr>
          <w:rFonts w:ascii="Arial" w:hAnsi="Arial"/>
          <w:color w:val="1E293B"/>
          <w:sz w:val="20"/>
        </w:rPr>
        <w:t>1. **Skema 1: Over Kredit Resmi (Subrogasi / Alih Debitur)**</w:t>
      </w:r>
    </w:p>
    <w:p>
      <w:pPr>
        <w:spacing w:before="0" w:after="80" w:line="276" w:lineRule="auto"/>
      </w:pPr>
      <w:r>
        <w:rPr>
          <w:rFonts w:ascii="Arial" w:hAnsi="Arial"/>
          <w:color w:val="1E293B"/>
          <w:sz w:val="20"/>
        </w:rPr>
        <w:t xml:space="preserve">   * **Proses:** Calon pembeli mengajukan permohonan ke bank kreditur untuk menggantikan posisi penjual sebagai debitur baru.</w:t>
      </w:r>
    </w:p>
    <w:p>
      <w:pPr>
        <w:spacing w:before="0" w:after="80" w:line="276" w:lineRule="auto"/>
      </w:pPr>
      <w:r>
        <w:rPr>
          <w:rFonts w:ascii="Arial" w:hAnsi="Arial"/>
          <w:color w:val="1E293B"/>
          <w:sz w:val="20"/>
        </w:rPr>
        <w:t xml:space="preserve">   * **Analisis Hukum:** Terjadi novasi subjektif (pembaruan utang) atau subrogasi. Setelah bank menyetujui kualifikasi finansial pembeli, dibuat Perjanjian Kredit baru. Penjual dilepaskan dari kewajiban utang, dan pembeli meneruskan sisa cicilan serta berhak atas sertifikat setelah lunas.</w:t>
      </w:r>
    </w:p>
    <w:p>
      <w:pPr>
        <w:spacing w:before="0" w:after="80" w:line="276" w:lineRule="auto"/>
      </w:pPr>
      <w:r>
        <w:rPr>
          <w:rFonts w:ascii="Arial" w:hAnsi="Arial"/>
          <w:color w:val="1E293B"/>
          <w:sz w:val="20"/>
        </w:rPr>
        <w:t xml:space="preserve">   * **Kelebihan:** Sangat aman, legalitas diakui bank, penjual bebas dari BI Checking/SLIK OJK.</w:t>
      </w:r>
    </w:p>
    <w:p>
      <w:pPr>
        <w:spacing w:before="0" w:after="80"/>
      </w:pPr>
    </w:p>
    <w:p>
      <w:pPr>
        <w:spacing w:before="0" w:after="80" w:line="276" w:lineRule="auto"/>
      </w:pPr>
      <w:r>
        <w:rPr>
          <w:rFonts w:ascii="Arial" w:hAnsi="Arial"/>
          <w:color w:val="1E293B"/>
          <w:sz w:val="20"/>
        </w:rPr>
        <w:t>2. **Skema 2: Pelunasan Dini (*Prepayment*) &amp; AJB**</w:t>
      </w:r>
    </w:p>
    <w:p>
      <w:pPr>
        <w:spacing w:before="0" w:after="80" w:line="276" w:lineRule="auto"/>
      </w:pPr>
      <w:r>
        <w:rPr>
          <w:rFonts w:ascii="Arial" w:hAnsi="Arial"/>
          <w:color w:val="1E293B"/>
          <w:sz w:val="20"/>
        </w:rPr>
        <w:t xml:space="preserve">   * **Proses:** Properti dilunasi terlebih dahulu kepada bank (baik menggunakan uang muka pembeli atau dana talangan). Setelah sisa pokok utang dan penalti/bunga lunas, bank menerbitkan Surat Keterangan Lunas dan Surat Roya.</w:t>
      </w:r>
    </w:p>
    <w:p>
      <w:pPr>
        <w:spacing w:before="0" w:after="80" w:line="276" w:lineRule="auto"/>
      </w:pPr>
      <w:r>
        <w:rPr>
          <w:rFonts w:ascii="Arial" w:hAnsi="Arial"/>
          <w:color w:val="1E293B"/>
          <w:sz w:val="20"/>
        </w:rPr>
        <w:t xml:space="preserve">   * **Analisis Hukum:** Hak Tanggungan dicoret di Kantor Pertanahan (BPN). Sertifikat asli ditarik, lalu penjual dan pembeli menandatangani AJB di hadapan PPAT secara definitif.</w:t>
      </w:r>
    </w:p>
    <w:p>
      <w:pPr>
        <w:spacing w:before="0" w:after="80" w:line="276" w:lineRule="auto"/>
      </w:pPr>
      <w:r>
        <w:rPr>
          <w:rFonts w:ascii="Arial" w:hAnsi="Arial"/>
          <w:color w:val="1E293B"/>
          <w:sz w:val="20"/>
        </w:rPr>
        <w:t xml:space="preserve">   * **Kelebihan:** Sertifikat langsung beralih atas nama pembeli tanpa keterikatan cicilan berjalan.</w:t>
      </w:r>
    </w:p>
    <w:p>
      <w:pPr>
        <w:spacing w:before="0" w:after="80"/>
      </w:pPr>
    </w:p>
    <w:p>
      <w:pPr>
        <w:spacing w:before="160" w:after="80" w:line="276" w:lineRule="auto"/>
      </w:pPr>
      <w:r>
        <w:rPr>
          <w:rFonts w:ascii="Arial" w:hAnsi="Arial"/>
          <w:b/>
          <w:color w:val="0F172A"/>
          <w:sz w:val="21"/>
        </w:rPr>
        <w:t>#### C. Risiko Penjualan Bawah Tangan (*Over Kredit Notariil Tanpa Izin Bank*)</w:t>
      </w:r>
    </w:p>
    <w:p>
      <w:pPr>
        <w:spacing w:before="0" w:after="80" w:line="276" w:lineRule="auto"/>
      </w:pPr>
      <w:r>
        <w:rPr>
          <w:rFonts w:ascii="Arial" w:hAnsi="Arial"/>
          <w:color w:val="1E293B"/>
          <w:sz w:val="20"/>
        </w:rPr>
        <w:t>Praktik di mana penjual dan pembeli hanya membuat akta Perjanjian Pengikatan Jual Beli (PPJB) dan Kuasa Menjual di hadapan Notaris **tanpa persetujuan bank** membawa konsekuensi hukum serius:</w:t>
      </w:r>
    </w:p>
    <w:p>
      <w:pPr>
        <w:spacing w:before="0" w:after="80" w:line="276" w:lineRule="auto"/>
      </w:pPr>
      <w:r>
        <w:rPr>
          <w:rFonts w:ascii="Arial" w:hAnsi="Arial"/>
          <w:color w:val="1E293B"/>
          <w:sz w:val="20"/>
        </w:rPr>
        <w:t>* **Pelanggaran Kontrak (*Wanprestasi*):** Bank berhak mengeksekusi objek lelang jika mengetahui properti dialihkan tanpa izin (Pasal 11 UUHT).</w:t>
      </w:r>
    </w:p>
    <w:p>
      <w:pPr>
        <w:spacing w:before="0" w:after="80" w:line="276" w:lineRule="auto"/>
      </w:pPr>
      <w:r>
        <w:rPr>
          <w:rFonts w:ascii="Arial" w:hAnsi="Arial"/>
          <w:color w:val="1E293B"/>
          <w:sz w:val="20"/>
        </w:rPr>
        <w:t>* **Risiko bagi Penjual:** Jika pembeli menunggak cicilan, nama penjual yang tercatat buruk di SLIK OJK, dan penjual tetap dituntut oleh bank secara perdata.</w:t>
      </w:r>
    </w:p>
    <w:p>
      <w:pPr>
        <w:spacing w:before="0" w:after="80" w:line="276" w:lineRule="auto"/>
      </w:pPr>
      <w:r>
        <w:rPr>
          <w:rFonts w:ascii="Arial" w:hAnsi="Arial"/>
          <w:color w:val="1E293B"/>
          <w:sz w:val="20"/>
        </w:rPr>
        <w:t>* **Risiko bagi Pembeli:** Pembeli tidak bisa mengambil sertifikat di bank saat cicilan selesai jika penjual meninggal dunia, pailit, atau tidak kooperatif memberikan dokumen penunjang.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4. Actionable Recommendations &amp; Practical Steps</w:t>
      </w:r>
    </w:p>
    <w:p>
      <w:pPr>
        <w:spacing w:before="0" w:after="80"/>
      </w:pPr>
    </w:p>
    <w:p>
      <w:pPr>
        <w:spacing w:before="0" w:after="80" w:line="276" w:lineRule="auto"/>
      </w:pPr>
      <w:r>
        <w:rPr>
          <w:rFonts w:ascii="Arial" w:hAnsi="Arial"/>
          <w:color w:val="1E293B"/>
          <w:sz w:val="20"/>
        </w:rPr>
        <w:t>Jika Anda (atau klien Anda) berniat menjual properti yang belum lunas cicilannya, ikuti tahapan mitigasi risiko berikut:</w:t>
      </w:r>
    </w:p>
    <w:p>
      <w:pPr>
        <w:spacing w:before="0" w:after="80"/>
      </w:pPr>
    </w:p>
    <w:p>
      <w:pPr>
        <w:spacing w:before="0" w:after="80" w:line="276" w:lineRule="auto"/>
      </w:pPr>
      <w:r>
        <w:rPr>
          <w:rFonts w:ascii="Arial" w:hAnsi="Arial"/>
          <w:color w:val="1E293B"/>
          <w:sz w:val="20"/>
        </w:rPr>
        <w:t>1. **Periksa Saldo Pokok Pinjaman (*Baki Debet*):**</w:t>
      </w:r>
    </w:p>
    <w:p>
      <w:pPr>
        <w:spacing w:before="0" w:after="80" w:line="276" w:lineRule="auto"/>
      </w:pPr>
      <w:r>
        <w:rPr>
          <w:rFonts w:ascii="Arial" w:hAnsi="Arial"/>
          <w:color w:val="1E293B"/>
          <w:sz w:val="20"/>
        </w:rPr>
        <w:t xml:space="preserve">   * Minta informasi resmi ke bank mengenai sisa utang pokok, bunga berjalan, dan denda/penalti pelunasan dipercepat (*early termination fee*).</w:t>
      </w:r>
    </w:p>
    <w:p>
      <w:pPr>
        <w:spacing w:before="0" w:after="80" w:line="276" w:lineRule="auto"/>
      </w:pPr>
      <w:r>
        <w:rPr>
          <w:rFonts w:ascii="Arial" w:hAnsi="Arial"/>
          <w:color w:val="1E293B"/>
          <w:sz w:val="20"/>
        </w:rPr>
        <w:t>2. **Sepakati Mekanisme Pembayaran dengan Calon Pembeli:**</w:t>
      </w:r>
    </w:p>
    <w:p>
      <w:pPr>
        <w:spacing w:before="0" w:after="80" w:line="276" w:lineRule="auto"/>
      </w:pPr>
      <w:r>
        <w:rPr>
          <w:rFonts w:ascii="Arial" w:hAnsi="Arial"/>
          <w:color w:val="1E293B"/>
          <w:sz w:val="20"/>
        </w:rPr>
        <w:t xml:space="preserve">   * Tentukan apakah pembeli akan melanjutkan cicilan (Over Kredit Resmi) atau melunasi sisa utang Anda secara tunai (*Cash* Pelunasan).</w:t>
      </w:r>
    </w:p>
    <w:p>
      <w:pPr>
        <w:spacing w:before="0" w:after="80" w:line="276" w:lineRule="auto"/>
      </w:pPr>
      <w:r>
        <w:rPr>
          <w:rFonts w:ascii="Arial" w:hAnsi="Arial"/>
          <w:color w:val="1E293B"/>
          <w:sz w:val="20"/>
        </w:rPr>
        <w:t>3. **Jika Memilih Pelunasan oleh Pembeli (Gunakan Notaris):**</w:t>
      </w:r>
    </w:p>
    <w:p>
      <w:pPr>
        <w:spacing w:before="0" w:after="80" w:line="276" w:lineRule="auto"/>
      </w:pPr>
      <w:r>
        <w:rPr>
          <w:rFonts w:ascii="Arial" w:hAnsi="Arial"/>
          <w:color w:val="1E293B"/>
          <w:sz w:val="20"/>
        </w:rPr>
        <w:t xml:space="preserve">   * Jangan menerima dana pelunasan secara sembarangan. Buat **PPJB Notariil** yang memuat klausul bahwa uang muka (*down payment*) dialokasikan khusus untuk pelunasan ke bank, dan dibuat janji (*conditional agreement*) untuk pembuatan AJB segera setelah proses Roya selesai.</w:t>
      </w:r>
    </w:p>
    <w:p>
      <w:pPr>
        <w:spacing w:before="0" w:after="80" w:line="276" w:lineRule="auto"/>
      </w:pPr>
      <w:r>
        <w:rPr>
          <w:rFonts w:ascii="Arial" w:hAnsi="Arial"/>
          <w:color w:val="1E293B"/>
          <w:sz w:val="20"/>
        </w:rPr>
        <w:t>4. **Jika Memilih Over Kredit:**</w:t>
      </w:r>
    </w:p>
    <w:p>
      <w:pPr>
        <w:spacing w:before="0" w:after="80" w:line="276" w:lineRule="auto"/>
      </w:pPr>
      <w:r>
        <w:rPr>
          <w:rFonts w:ascii="Arial" w:hAnsi="Arial"/>
          <w:color w:val="1E293B"/>
          <w:sz w:val="20"/>
        </w:rPr>
        <w:t xml:space="preserve">   * Bersama pembeli, datang ke kantor cabang bank penyedia KPR untuk mengajukan proses *take-over* atau alih debitur resmi. Tunggu verifikasi analisis kredit (*credit scoring*) pembeli oleh bank.</w:t>
      </w:r>
    </w:p>
    <w:p>
      <w:pPr>
        <w:spacing w:before="0" w:after="80" w:line="276" w:lineRule="auto"/>
      </w:pPr>
      <w:r>
        <w:rPr>
          <w:rFonts w:ascii="Arial" w:hAnsi="Arial"/>
          <w:color w:val="1E293B"/>
          <w:sz w:val="20"/>
        </w:rPr>
        <w:t>5. **Hindari Kuasa Mutlak Tanpa Notifikasi Bank:**</w:t>
      </w:r>
    </w:p>
    <w:p>
      <w:pPr>
        <w:spacing w:before="0" w:after="80" w:line="276" w:lineRule="auto"/>
      </w:pPr>
      <w:r>
        <w:rPr>
          <w:rFonts w:ascii="Arial" w:hAnsi="Arial"/>
          <w:color w:val="1E293B"/>
          <w:sz w:val="20"/>
        </w:rPr>
        <w:t xml:space="preserve">   * Jangan pernah menyerahkan fisik rumah dan membiarkan pembeli membayar cicilan atas nama Anda tanpa persetujuan tertulis dari pihak bank.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5. Standard Legal Disclaimer</w:t>
      </w:r>
    </w:p>
    <w:p>
      <w:pPr>
        <w:spacing w:before="0" w:after="80"/>
      </w:pPr>
    </w:p>
    <w:p>
      <w:pPr>
        <w:spacing w:before="0" w:after="80" w:line="276" w:lineRule="auto"/>
      </w:pPr>
      <w:r>
        <w:rPr>
          <w:rFonts w:ascii="Arial" w:hAnsi="Arial"/>
          <w:color w:val="1E293B"/>
          <w:sz w:val="20"/>
        </w:rPr>
        <w:t>*Panduan ini disusun berdasarkan ketentuan hukum dan perundang-undangan Republik Indonesia yang berlaku untuk tujuan informasi dan edukasi hukum umum. Dokumen ini tidak secara otomatis menciptakan hubungan advokat-klien. Setiap transaksi properti memiliki karakteristik perjanjian kredit dan riwayat yuridis yang unik, oleh karenanya sangat disarankan untuk berkonsultasi langsung dengan Advokat, Notaris, atau Pejabat Pembuat Akta Tanah (PPAT) setempat sebelum menandatangani perjanjian pengalihan hak apa pun.*</w:t>
      </w:r>
    </w:p>
    <w:p>
      <w:pPr>
        <w:spacing w:before="400" w:after="0"/>
      </w:pPr>
      <w:r>
        <w:rPr>
          <w:rFonts w:ascii="Arial" w:hAnsi="Arial"/>
          <w:i/>
          <w:color w:val="94A3B8"/>
          <w:sz w:val="16"/>
        </w:rPr>
        <w:t>Disclaimer: This legal analysis is provided by hukum.live for educational and statutory guidance purposes. It does not establish an advocate-client relationship.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