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w:t>
      </w:r>
    </w:p>
    <w:p>
      <w:pPr>
        <w:spacing w:before="0" w:after="360"/>
        <w:jc w:val="center"/>
      </w:pPr>
      <w:r>
        <w:rPr>
          <w:rFonts w:ascii="Arial" w:hAnsi="Arial"/>
          <w:color w:val="64748B"/>
          <w:sz w:val="17"/>
        </w:rPr>
        <w:t>CATEGORY: CORPORATE &amp; INVESTMENT | DUAL LANGUAGE: ID ↔ ENGLISH | 03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Positif: Pasal 1320 Kitab Undang-Undang Hukum Perdata (KUHPerdata)</w:t>
      </w:r>
    </w:p>
    <w:p>
      <w:pPr>
        <w:spacing w:before="0" w:after="80" w:line="276" w:lineRule="auto"/>
      </w:pPr>
      <w:r>
        <w:rPr>
          <w:rFonts w:ascii="Arial" w:hAnsi="Arial"/>
          <w:color w:val="1E293B"/>
          <w:sz w:val="20"/>
        </w:rPr>
        <w:t>Pasal 1320 KUHPerdata menetapkan empat syarat kumulatif yang wajib dipenuhi agar suatu perjanjian/kontrak memiliki keabsahan hukum yang mengikat (*legally binding*):</w:t>
      </w:r>
    </w:p>
    <w:p>
      <w:pPr>
        <w:spacing w:before="0" w:after="80"/>
      </w:pP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Klasifikasi Doktriner dan Unsur-Unsur Keabsahan</w:t>
      </w:r>
    </w:p>
    <w:p>
      <w:pPr>
        <w:spacing w:before="0" w:after="80"/>
      </w:pPr>
    </w:p>
    <w:p>
      <w:pPr>
        <w:spacing w:before="0" w:after="80" w:line="276" w:lineRule="auto"/>
      </w:pPr>
      <w:r>
        <w:rPr>
          <w:rFonts w:ascii="Arial" w:hAnsi="Arial"/>
          <w:color w:val="1E293B"/>
          <w:sz w:val="20"/>
        </w:rPr>
        <w:t>Hukum perdata Indonesia membagi keempat syarat tersebut ke dalam dua kategori yuridis:</w:t>
      </w:r>
    </w:p>
    <w:p>
      <w:pPr>
        <w:spacing w:before="0" w:after="80"/>
      </w:pPr>
    </w:p>
    <w:p>
      <w:pPr>
        <w:spacing w:before="160" w:after="80" w:line="276" w:lineRule="auto"/>
      </w:pPr>
      <w:r>
        <w:rPr>
          <w:rFonts w:ascii="Arial" w:hAnsi="Arial"/>
          <w:b/>
          <w:color w:val="0F172A"/>
          <w:sz w:val="21"/>
        </w:rPr>
        <w:t>##### A. Syarat Subjektif (Mengenai Subjek Hukum / Para Pihak)</w:t>
      </w:r>
    </w:p>
    <w:p>
      <w:pPr>
        <w:spacing w:before="0" w:after="80" w:line="276" w:lineRule="auto"/>
      </w:pPr>
      <w:r>
        <w:rPr>
          <w:rFonts w:ascii="Arial" w:hAnsi="Arial"/>
          <w:color w:val="1E293B"/>
          <w:sz w:val="20"/>
        </w:rPr>
        <w:t>1. **Kesepakatan Para Pihak (*Consensus / Toestemming*)**</w:t>
      </w:r>
    </w:p>
    <w:p>
      <w:pPr>
        <w:spacing w:before="0" w:after="80" w:line="276" w:lineRule="auto"/>
      </w:pPr>
      <w:r>
        <w:rPr>
          <w:rFonts w:ascii="Arial" w:hAnsi="Arial"/>
          <w:color w:val="1E293B"/>
          <w:sz w:val="20"/>
        </w:rPr>
        <w:t xml:space="preserve">   * Para pihak harus memberikan persetujuan secara bebas tanpa adanya cacat kehendak (*wilsgebreke*).</w:t>
      </w:r>
    </w:p>
    <w:p>
      <w:pPr>
        <w:spacing w:before="0" w:after="80" w:line="276" w:lineRule="auto"/>
      </w:pPr>
      <w:r>
        <w:rPr>
          <w:rFonts w:ascii="Arial" w:hAnsi="Arial"/>
          <w:color w:val="1E293B"/>
          <w:sz w:val="20"/>
        </w:rPr>
        <w:t xml:space="preserve">   * Cacat kehendak diatur dalam Pasal 1321 KUHPerdata, yang mencakup:</w:t>
      </w:r>
    </w:p>
    <w:p>
      <w:pPr>
        <w:spacing w:before="0" w:after="80" w:line="276" w:lineRule="auto"/>
      </w:pPr>
      <w:r>
        <w:rPr>
          <w:rFonts w:ascii="Arial" w:hAnsi="Arial"/>
          <w:color w:val="1E293B"/>
          <w:sz w:val="20"/>
        </w:rPr>
        <w:t xml:space="preserve">     * Kekhilafan/kesesatan (*dwaling* – Pasal 1322 KUHPerdata);</w:t>
      </w:r>
    </w:p>
    <w:p>
      <w:pPr>
        <w:spacing w:before="0" w:after="80" w:line="276" w:lineRule="auto"/>
      </w:pPr>
      <w:r>
        <w:rPr>
          <w:rFonts w:ascii="Arial" w:hAnsi="Arial"/>
          <w:color w:val="1E293B"/>
          <w:sz w:val="20"/>
        </w:rPr>
        <w:t xml:space="preserve">     * Paksaan (*dwang* – Pasal 1323–1327 KUHPerdata);</w:t>
      </w:r>
    </w:p>
    <w:p>
      <w:pPr>
        <w:spacing w:before="0" w:after="80" w:line="276" w:lineRule="auto"/>
      </w:pPr>
      <w:r>
        <w:rPr>
          <w:rFonts w:ascii="Arial" w:hAnsi="Arial"/>
          <w:color w:val="1E293B"/>
          <w:sz w:val="20"/>
        </w:rPr>
        <w:t xml:space="preserve">     * Penipuan (*bedrog* – Pasal 1328 KUHPerdata); serta</w:t>
      </w:r>
    </w:p>
    <w:p>
      <w:pPr>
        <w:spacing w:before="0" w:after="80" w:line="276" w:lineRule="auto"/>
      </w:pPr>
      <w:r>
        <w:rPr>
          <w:rFonts w:ascii="Arial" w:hAnsi="Arial"/>
          <w:color w:val="1E293B"/>
          <w:sz w:val="20"/>
        </w:rPr>
        <w:t xml:space="preserve">     * Doktrin penyalahgunaan keadaan (*misbruik van omstandigheden*) yang diakui dalam yurisprudensi Mahkamah Agung RI.</w:t>
      </w:r>
    </w:p>
    <w:p>
      <w:pPr>
        <w:spacing w:before="0" w:after="80" w:line="276" w:lineRule="auto"/>
      </w:pPr>
      <w:r>
        <w:rPr>
          <w:rFonts w:ascii="Arial" w:hAnsi="Arial"/>
          <w:color w:val="1E293B"/>
          <w:sz w:val="20"/>
        </w:rPr>
        <w:t>2. **Kecakapan Bertindak (*Bekwaamheid*)**</w:t>
      </w:r>
    </w:p>
    <w:p>
      <w:pPr>
        <w:spacing w:before="0" w:after="80" w:line="276" w:lineRule="auto"/>
      </w:pPr>
      <w:r>
        <w:rPr>
          <w:rFonts w:ascii="Arial" w:hAnsi="Arial"/>
          <w:color w:val="1E293B"/>
          <w:sz w:val="20"/>
        </w:rPr>
        <w:t xml:space="preserve">   * Berdasarkan Pasal 1329 KUHPerdata, setiap orang pada dasarnya cakap, kecuali dinyatakan tidak cakap oleh undang-undang.</w:t>
      </w:r>
    </w:p>
    <w:p>
      <w:pPr>
        <w:spacing w:before="0" w:after="80" w:line="276" w:lineRule="auto"/>
      </w:pPr>
      <w:r>
        <w:rPr>
          <w:rFonts w:ascii="Arial" w:hAnsi="Arial"/>
          <w:color w:val="1E293B"/>
          <w:sz w:val="20"/>
        </w:rPr>
        <w:t xml:space="preserve">   * Pihak yang tidak cakap menurut Pasal 1330 KUHPerdata (sebagaimana telah diselaraskan dengan UU No. 1/1974 jo. UU No. 16/2019 dan UU Perlindungan Anak) mencakup:</w:t>
      </w:r>
    </w:p>
    <w:p>
      <w:pPr>
        <w:spacing w:before="0" w:after="80" w:line="276" w:lineRule="auto"/>
      </w:pPr>
      <w:r>
        <w:rPr>
          <w:rFonts w:ascii="Arial" w:hAnsi="Arial"/>
          <w:color w:val="1E293B"/>
          <w:sz w:val="20"/>
        </w:rPr>
        <w:t xml:space="preserve">     * Anak yang belum dewasa (di bawah 18 tahun untuk perbuatan perdata tertentu);</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*Catatan:* Ketentuan istri di bawah perwalian suami telah dicabut oleh SEMA No. 3 Tahun 1963 dan Pasal 31 UU Perkawinan.</w:t>
      </w:r>
    </w:p>
    <w:p>
      <w:pPr>
        <w:spacing w:before="0" w:after="80" w:line="276" w:lineRule="auto"/>
      </w:pPr>
      <w:r>
        <w:rPr>
          <w:rFonts w:ascii="Arial" w:hAnsi="Arial"/>
          <w:color w:val="1E293B"/>
          <w:sz w:val="20"/>
        </w:rPr>
        <w:t xml:space="preserve">   * Untuk badan hukum (*rechtspersoon*), kecakapan direpresentasikan oleh organ yang berwenang (misalnya Direksi berdasarkan UU No. 40 Tahun 2007 tentang Perseroan Terbatas / UU PT) sesuai Anggaran Dasar.</w:t>
      </w:r>
    </w:p>
    <w:p>
      <w:pPr>
        <w:spacing w:before="0" w:after="80"/>
      </w:pPr>
    </w:p>
    <w:p>
      <w:pPr>
        <w:spacing w:before="160" w:after="80" w:line="276" w:lineRule="auto"/>
      </w:pPr>
      <w:r>
        <w:rPr>
          <w:rFonts w:ascii="Arial" w:hAnsi="Arial"/>
          <w:b/>
          <w:color w:val="0F172A"/>
          <w:sz w:val="21"/>
        </w:rPr>
        <w:t>##### B. Syarat Objektif (Mengenai Objek dan Kausa Perjanjian)</w:t>
      </w:r>
    </w:p>
    <w:p>
      <w:pPr>
        <w:spacing w:before="0" w:after="80" w:line="276" w:lineRule="auto"/>
      </w:pPr>
      <w:r>
        <w:rPr>
          <w:rFonts w:ascii="Arial" w:hAnsi="Arial"/>
          <w:color w:val="1E293B"/>
          <w:sz w:val="20"/>
        </w:rPr>
        <w:t>3. **Suatu Pokok Persoalan Tertentu (*Bepaald Onderwerp*)**</w:t>
      </w:r>
    </w:p>
    <w:p>
      <w:pPr>
        <w:spacing w:before="0" w:after="80" w:line="276" w:lineRule="auto"/>
      </w:pPr>
      <w:r>
        <w:rPr>
          <w:rFonts w:ascii="Arial" w:hAnsi="Arial"/>
          <w:color w:val="1E293B"/>
          <w:sz w:val="20"/>
        </w:rPr>
        <w:t xml:space="preserve">   * Objek perjanjian harus dapat ditentukan jenisnya dan dapat dinilai secara ekonomi (Pasal 1332 dan 1333 KUHPerdata).</w:t>
      </w:r>
    </w:p>
    <w:p>
      <w:pPr>
        <w:spacing w:before="0" w:after="80" w:line="276" w:lineRule="auto"/>
      </w:pPr>
      <w:r>
        <w:rPr>
          <w:rFonts w:ascii="Arial" w:hAnsi="Arial"/>
          <w:color w:val="1E293B"/>
          <w:sz w:val="20"/>
        </w:rPr>
        <w:t xml:space="preserve">   * Objek tersebut mencakup barang yang ada saat ini maupun barang yang akan ada di kemudian hari (*res futura*), asalkan dapat diidentifikasi secara jelas.</w:t>
      </w:r>
    </w:p>
    <w:p>
      <w:pPr>
        <w:spacing w:before="0" w:after="80" w:line="276" w:lineRule="auto"/>
      </w:pPr>
      <w:r>
        <w:rPr>
          <w:rFonts w:ascii="Arial" w:hAnsi="Arial"/>
          <w:color w:val="1E293B"/>
          <w:sz w:val="20"/>
        </w:rPr>
        <w:t>4. **Sebab yang Tidak Terlarang / Kausa yang Halal (*Geoorloofde Oorzaak*)**</w:t>
      </w:r>
    </w:p>
    <w:p>
      <w:pPr>
        <w:spacing w:before="0" w:after="80" w:line="276" w:lineRule="auto"/>
      </w:pPr>
      <w:r>
        <w:rPr>
          <w:rFonts w:ascii="Arial" w:hAnsi="Arial"/>
          <w:color w:val="1E293B"/>
          <w:sz w:val="20"/>
        </w:rPr>
        <w:t xml:space="preserve">   * Kausa merujuk pada isi dan tujuan objektif dari perjanjian, bukan motif subjektif para pihak.</w:t>
      </w:r>
    </w:p>
    <w:p>
      <w:pPr>
        <w:spacing w:before="0" w:after="80" w:line="276" w:lineRule="auto"/>
      </w:pPr>
      <w:r>
        <w:rPr>
          <w:rFonts w:ascii="Arial" w:hAnsi="Arial"/>
          <w:color w:val="1E293B"/>
          <w:sz w:val="20"/>
        </w:rPr>
        <w:t xml:space="preserve">   * Berdasarkan Pasal 1335 dan 1337 KUHPerdata, suatu kausa dilarang apabila:</w:t>
      </w:r>
    </w:p>
    <w:p>
      <w:pPr>
        <w:spacing w:before="0" w:after="80" w:line="276" w:lineRule="auto"/>
      </w:pPr>
      <w:r>
        <w:rPr>
          <w:rFonts w:ascii="Arial" w:hAnsi="Arial"/>
          <w:color w:val="1E293B"/>
          <w:sz w:val="20"/>
        </w:rPr>
        <w:t xml:space="preserve">     * Bertentangan dengan undang-undang yang bersifat memaksa (*dwingend recht*);</w:t>
      </w:r>
    </w:p>
    <w:p>
      <w:pPr>
        <w:spacing w:before="0" w:after="80" w:line="276" w:lineRule="auto"/>
      </w:pPr>
      <w:r>
        <w:rPr>
          <w:rFonts w:ascii="Arial" w:hAnsi="Arial"/>
          <w:color w:val="1E293B"/>
          <w:sz w:val="20"/>
        </w:rPr>
        <w:t xml:space="preserve">     * Bertentangan dengan kesusilaan yang baik (*goede zeden*); atau</w:t>
      </w:r>
    </w:p>
    <w:p>
      <w:pPr>
        <w:spacing w:before="0" w:after="80" w:line="276" w:lineRule="auto"/>
      </w:pPr>
      <w:r>
        <w:rPr>
          <w:rFonts w:ascii="Arial" w:hAnsi="Arial"/>
          <w:color w:val="1E293B"/>
          <w:sz w:val="20"/>
        </w:rPr>
        <w:t xml:space="preserve">     * Bertentangan dengan ketertiban umum (*openbare orde*).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Konsekuensi Yuridis atas Pelanggaran Syarat Keabsahan</w:t>
      </w:r>
    </w:p>
    <w:p>
      <w:pPr>
        <w:spacing w:before="0" w:after="80"/>
      </w:pPr>
    </w:p>
    <w:p>
      <w:pPr>
        <w:spacing w:before="0" w:after="80" w:line="276" w:lineRule="auto"/>
      </w:pPr>
      <w:r>
        <w:rPr>
          <w:rFonts w:ascii="Arial" w:hAnsi="Arial"/>
          <w:color w:val="1E293B"/>
          <w:sz w:val="20"/>
        </w:rPr>
        <w:t>| Kategori Pelanggaran | Syarat yang Dilanggar | Akibat Hukum | Karakteristik Pembatalan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**Cacat Subjektif** | Angka 1 (Kesepakatan) atau Angka 2 (Kecakapan) | **Dapat Dibatalkan** (*vernietigbaar / voidable*) | Perjanjian tetap sah dan mengikat para pihak sampai salah satu pihak yang dirugikan/wali mengajukan gugatan pembatalan ke Pengadilan Negeri. Batas waktu daluwarsa gugatan adalah 5 tahun (Pasal 1454 KUHPerdata). |</w:t>
      </w:r>
    </w:p>
    <w:p>
      <w:pPr>
        <w:spacing w:before="0" w:after="80" w:line="276" w:lineRule="auto"/>
      </w:pPr>
      <w:r>
        <w:rPr>
          <w:rFonts w:ascii="Arial" w:hAnsi="Arial"/>
          <w:color w:val="1E293B"/>
          <w:sz w:val="20"/>
        </w:rPr>
        <w:t>| **Cacat Objektif** | Angka 3 (Objek Tertentu) atau Angka 4 (Kausa Halal) | **Batal Demi Hukum** (*nietig / null and void ab initio*) | Sejak awal perjanjian dianggap tidak pernah ada (*never existed*). Tidak memerlukan pembatalan oleh hakim untuk meniadakan perikatan, dan para pihak tidak dapat saling menuntut pemenuhan prestasi atas dasar kontrak tersebut.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Mitigasi Risiko &amp; Kepatuhan Praktis Kontraktual</w:t>
      </w:r>
    </w:p>
    <w:p>
      <w:pPr>
        <w:spacing w:before="0" w:after="80"/>
      </w:pPr>
    </w:p>
    <w:p>
      <w:pPr>
        <w:spacing w:before="0" w:after="80" w:line="276" w:lineRule="auto"/>
      </w:pPr>
      <w:r>
        <w:rPr>
          <w:rFonts w:ascii="Arial" w:hAnsi="Arial"/>
          <w:color w:val="1E293B"/>
          <w:sz w:val="20"/>
        </w:rPr>
        <w:t>1. **Uji Tuntas Kapasitas Korporasi (*Legal Due Diligence on Authority*):**</w:t>
      </w:r>
    </w:p>
    <w:p>
      <w:pPr>
        <w:spacing w:before="0" w:after="80" w:line="276" w:lineRule="auto"/>
      </w:pPr>
      <w:r>
        <w:rPr>
          <w:rFonts w:ascii="Arial" w:hAnsi="Arial"/>
          <w:color w:val="1E293B"/>
          <w:sz w:val="20"/>
        </w:rPr>
        <w:t xml:space="preserve">   * Verifikasi identitas pihak penandatangan, keabsahan Surat Kuasa Khusus, atau Surat Keputusan Pengangkatan Direksi.</w:t>
      </w:r>
    </w:p>
    <w:p>
      <w:pPr>
        <w:spacing w:before="0" w:after="80" w:line="276" w:lineRule="auto"/>
      </w:pPr>
      <w:r>
        <w:rPr>
          <w:rFonts w:ascii="Arial" w:hAnsi="Arial"/>
          <w:color w:val="1E293B"/>
          <w:sz w:val="20"/>
        </w:rPr>
        <w:t xml:space="preserve">   * Periksa Anggaran Dasar terakhir untuk memastikan batasan wewenang (*limitation of authority*) dan pemenuhan persetujuan organ lain (misal: Persetujuan Dewan Komisaris atau RUPS berdasarkan UU PT).</w:t>
      </w:r>
    </w:p>
    <w:p>
      <w:pPr>
        <w:spacing w:before="0" w:after="80" w:line="276" w:lineRule="auto"/>
      </w:pPr>
      <w:r>
        <w:rPr>
          <w:rFonts w:ascii="Arial" w:hAnsi="Arial"/>
          <w:color w:val="1E293B"/>
          <w:sz w:val="20"/>
        </w:rPr>
        <w:t>2. **Ketiadaan Tekanan dan Cacat Kehendak:**</w:t>
      </w:r>
    </w:p>
    <w:p>
      <w:pPr>
        <w:spacing w:before="0" w:after="80" w:line="276" w:lineRule="auto"/>
      </w:pPr>
      <w:r>
        <w:rPr>
          <w:rFonts w:ascii="Arial" w:hAnsi="Arial"/>
          <w:color w:val="1E293B"/>
          <w:sz w:val="20"/>
        </w:rPr>
        <w:t xml:space="preserve">   * Masukkan klausul representasi dan jaminan (*representations and warranties*) yang menyatakan bahwa masing-masing pihak menandatangani kontrak secara sukarela dan tanpa tekanan atau pengaruh yang tidak semestinya.</w:t>
      </w:r>
    </w:p>
    <w:p>
      <w:pPr>
        <w:spacing w:before="0" w:after="80" w:line="276" w:lineRule="auto"/>
      </w:pPr>
      <w:r>
        <w:rPr>
          <w:rFonts w:ascii="Arial" w:hAnsi="Arial"/>
          <w:color w:val="1E293B"/>
          <w:sz w:val="20"/>
        </w:rPr>
        <w:t>3. **Spesifikasi Objek secara Rigor:**</w:t>
      </w:r>
    </w:p>
    <w:p>
      <w:pPr>
        <w:spacing w:before="0" w:after="80" w:line="276" w:lineRule="auto"/>
      </w:pPr>
      <w:r>
        <w:rPr>
          <w:rFonts w:ascii="Arial" w:hAnsi="Arial"/>
          <w:color w:val="1E293B"/>
          <w:sz w:val="20"/>
        </w:rPr>
        <w:t xml:space="preserve">   * Rumuskan ruang lingkup pekerjaan (*Scope of Work*), spesifikasi teknis barang/jasa, serta harga dan jadwal penyerahan secara eksplisit guna menghindari ambiguitas objek perjanjian.</w:t>
      </w:r>
    </w:p>
    <w:p>
      <w:pPr>
        <w:spacing w:before="0" w:after="80" w:line="276" w:lineRule="auto"/>
      </w:pPr>
      <w:r>
        <w:rPr>
          <w:rFonts w:ascii="Arial" w:hAnsi="Arial"/>
          <w:color w:val="1E293B"/>
          <w:sz w:val="20"/>
        </w:rPr>
        <w:t>4. **Pemeriksaan Kepatuhan terhadap Ketertiban Umum:**</w:t>
      </w:r>
    </w:p>
    <w:p>
      <w:pPr>
        <w:spacing w:before="0" w:after="80" w:line="276" w:lineRule="auto"/>
      </w:pPr>
      <w:r>
        <w:rPr>
          <w:rFonts w:ascii="Arial" w:hAnsi="Arial"/>
          <w:color w:val="1E293B"/>
          <w:sz w:val="20"/>
        </w:rPr>
        <w:t xml:space="preserve">   * Pastikan substansi perjanjian tidak melanggar ketentuan hukum Indonesia yang bersifat imperatif (misalnya: kewajiban penggunaan Bahasa Indonesia berdasarkan UU No. 24 Tahun 2009 dan kewajiban transaksi menggunakan Rupiah berdasarkan UU Mata Uang No. 7 Tahun 2011).</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Foundation: Article 1320 of the Indonesian Civil Code (KUHPerdata)</w:t>
      </w:r>
    </w:p>
    <w:p>
      <w:pPr>
        <w:spacing w:before="0" w:after="80" w:line="276" w:lineRule="auto"/>
      </w:pPr>
      <w:r>
        <w:rPr>
          <w:rFonts w:ascii="Arial" w:hAnsi="Arial"/>
          <w:color w:val="1E293B"/>
          <w:sz w:val="20"/>
        </w:rPr>
        <w:t>Article 1320 of the Indonesian Civil Code (KUHPerdata / *Burgerlijk Wetboek*) sets forth the four cumulative requirements that must be met for a contract or agreement to be legally valid and binding:</w:t>
      </w:r>
    </w:p>
    <w:p>
      <w:pPr>
        <w:spacing w:before="0" w:after="80"/>
      </w:pPr>
    </w:p>
    <w:p>
      <w:pPr>
        <w:spacing w:before="0" w:after="80" w:line="276" w:lineRule="auto"/>
      </w:pPr>
      <w:r>
        <w:rPr>
          <w:rFonts w:ascii="Arial" w:hAnsi="Arial"/>
          <w:color w:val="1E293B"/>
          <w:sz w:val="20"/>
        </w:rPr>
        <w:t>&gt; *"In order to be valid, an agreement must satisfy four conditions:*</w:t>
      </w:r>
    </w:p>
    <w:p>
      <w:pPr>
        <w:spacing w:before="0" w:after="80" w:line="276" w:lineRule="auto"/>
      </w:pPr>
      <w:r>
        <w:rPr>
          <w:rFonts w:ascii="Arial" w:hAnsi="Arial"/>
          <w:color w:val="1E293B"/>
          <w:sz w:val="20"/>
        </w:rPr>
        <w:t>&gt; *1. the consent of those who bind themselves;*</w:t>
      </w:r>
    </w:p>
    <w:p>
      <w:pPr>
        <w:spacing w:before="0" w:after="80" w:line="276" w:lineRule="auto"/>
      </w:pPr>
      <w:r>
        <w:rPr>
          <w:rFonts w:ascii="Arial" w:hAnsi="Arial"/>
          <w:color w:val="1E293B"/>
          <w:sz w:val="20"/>
        </w:rPr>
        <w:t>&gt; *2. the capacity to conclude an obligation;*</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Doctrinal Classification and Core Legal Elements</w:t>
      </w:r>
    </w:p>
    <w:p>
      <w:pPr>
        <w:spacing w:before="0" w:after="80"/>
      </w:pPr>
    </w:p>
    <w:p>
      <w:pPr>
        <w:spacing w:before="0" w:after="80" w:line="276" w:lineRule="auto"/>
      </w:pPr>
      <w:r>
        <w:rPr>
          <w:rFonts w:ascii="Arial" w:hAnsi="Arial"/>
          <w:color w:val="1E293B"/>
          <w:sz w:val="20"/>
        </w:rPr>
        <w:t>Indonesian civil jurisprudence categorizes these four requirements into two distinct legal classifications:</w:t>
      </w:r>
    </w:p>
    <w:p>
      <w:pPr>
        <w:spacing w:before="0" w:after="80"/>
      </w:pPr>
    </w:p>
    <w:p>
      <w:pPr>
        <w:spacing w:before="160" w:after="80" w:line="276" w:lineRule="auto"/>
      </w:pPr>
      <w:r>
        <w:rPr>
          <w:rFonts w:ascii="Arial" w:hAnsi="Arial"/>
          <w:b/>
          <w:color w:val="0F172A"/>
          <w:sz w:val="21"/>
        </w:rPr>
        <w:t>##### A. Subjective Requirements (Pertaining to the Contracting Parties)</w:t>
      </w:r>
    </w:p>
    <w:p>
      <w:pPr>
        <w:spacing w:before="0" w:after="80" w:line="276" w:lineRule="auto"/>
      </w:pPr>
      <w:r>
        <w:rPr>
          <w:rFonts w:ascii="Arial" w:hAnsi="Arial"/>
          <w:color w:val="1E293B"/>
          <w:sz w:val="20"/>
        </w:rPr>
        <w:t>1. **Mutual Consent of the Parties (*Consensus / Toestemming*)**</w:t>
      </w:r>
    </w:p>
    <w:p>
      <w:pPr>
        <w:spacing w:before="0" w:after="80" w:line="276" w:lineRule="auto"/>
      </w:pPr>
      <w:r>
        <w:rPr>
          <w:rFonts w:ascii="Arial" w:hAnsi="Arial"/>
          <w:color w:val="1E293B"/>
          <w:sz w:val="20"/>
        </w:rPr>
        <w:t xml:space="preserve">   * The parties must give their consent freely without any vitiating factors (*defects of consent* / *wilsgebreke*).</w:t>
      </w:r>
    </w:p>
    <w:p>
      <w:pPr>
        <w:spacing w:before="0" w:after="80" w:line="276" w:lineRule="auto"/>
      </w:pPr>
      <w:r>
        <w:rPr>
          <w:rFonts w:ascii="Arial" w:hAnsi="Arial"/>
          <w:color w:val="1E293B"/>
          <w:sz w:val="20"/>
        </w:rPr>
        <w:t xml:space="preserve">   * Defects of consent are governed by Article 1321 of the Indonesian Civil Code, which encompasses:</w:t>
      </w:r>
    </w:p>
    <w:p>
      <w:pPr>
        <w:spacing w:before="0" w:after="80" w:line="276" w:lineRule="auto"/>
      </w:pPr>
      <w:r>
        <w:rPr>
          <w:rFonts w:ascii="Arial" w:hAnsi="Arial"/>
          <w:color w:val="1E293B"/>
          <w:sz w:val="20"/>
        </w:rPr>
        <w:t xml:space="preserve">     * Mistake/Error (*dwaling* – Article 1322 KUHPerdata);</w:t>
      </w:r>
    </w:p>
    <w:p>
      <w:pPr>
        <w:spacing w:before="0" w:after="80" w:line="276" w:lineRule="auto"/>
      </w:pPr>
      <w:r>
        <w:rPr>
          <w:rFonts w:ascii="Arial" w:hAnsi="Arial"/>
          <w:color w:val="1E293B"/>
          <w:sz w:val="20"/>
        </w:rPr>
        <w:t xml:space="preserve">     * Duress/Coercion (*dwang* – Articles 1323–1327 KUHPerdata);</w:t>
      </w:r>
    </w:p>
    <w:p>
      <w:pPr>
        <w:spacing w:before="0" w:after="80" w:line="276" w:lineRule="auto"/>
      </w:pPr>
      <w:r>
        <w:rPr>
          <w:rFonts w:ascii="Arial" w:hAnsi="Arial"/>
          <w:color w:val="1E293B"/>
          <w:sz w:val="20"/>
        </w:rPr>
        <w:t xml:space="preserve">     * Fraud (*bedrog* – Article 1328 KUHPerdata); and</w:t>
      </w:r>
    </w:p>
    <w:p>
      <w:pPr>
        <w:spacing w:before="0" w:after="80" w:line="276" w:lineRule="auto"/>
      </w:pPr>
      <w:r>
        <w:rPr>
          <w:rFonts w:ascii="Arial" w:hAnsi="Arial"/>
          <w:color w:val="1E293B"/>
          <w:sz w:val="20"/>
        </w:rPr>
        <w:t xml:space="preserve">     * The doctrine of abuse of circumstances (*misbruik van omstandigheden*), firmly recognized through Supreme Court jurisprudence.</w:t>
      </w:r>
    </w:p>
    <w:p>
      <w:pPr>
        <w:spacing w:before="0" w:after="80" w:line="276" w:lineRule="auto"/>
      </w:pPr>
      <w:r>
        <w:rPr>
          <w:rFonts w:ascii="Arial" w:hAnsi="Arial"/>
          <w:color w:val="1E293B"/>
          <w:sz w:val="20"/>
        </w:rPr>
        <w:t>2. **Legal Capacity to Contract (*Bekwaamheid*)**</w:t>
      </w:r>
    </w:p>
    <w:p>
      <w:pPr>
        <w:spacing w:before="0" w:after="80" w:line="276" w:lineRule="auto"/>
      </w:pPr>
      <w:r>
        <w:rPr>
          <w:rFonts w:ascii="Arial" w:hAnsi="Arial"/>
          <w:color w:val="1E293B"/>
          <w:sz w:val="20"/>
        </w:rPr>
        <w:t xml:space="preserve">   * Pursuant to Article 1329 KUHPerdata, every individual is legally capable unless declared otherwise by law.</w:t>
      </w:r>
    </w:p>
    <w:p>
      <w:pPr>
        <w:spacing w:before="0" w:after="80" w:line="276" w:lineRule="auto"/>
      </w:pPr>
      <w:r>
        <w:rPr>
          <w:rFonts w:ascii="Arial" w:hAnsi="Arial"/>
          <w:color w:val="1E293B"/>
          <w:sz w:val="20"/>
        </w:rPr>
        <w:t xml:space="preserve">   * Incapacitated persons under Article 1330 KUHPerdata (as harmonized by Law No. 1/1974 as amended by Law No. 16/2019 on Marriage and the Child Protection Law) include:</w:t>
      </w:r>
    </w:p>
    <w:p>
      <w:pPr>
        <w:spacing w:before="0" w:after="80" w:line="276" w:lineRule="auto"/>
      </w:pPr>
      <w:r>
        <w:rPr>
          <w:rFonts w:ascii="Arial" w:hAnsi="Arial"/>
          <w:color w:val="1E293B"/>
          <w:sz w:val="20"/>
        </w:rPr>
        <w:t xml:space="preserve">     * Minors (individuals under 18 years of age for specific civil transactions);</w:t>
      </w:r>
    </w:p>
    <w:p>
      <w:pPr>
        <w:spacing w:before="0" w:after="80" w:line="276" w:lineRule="auto"/>
      </w:pPr>
      <w:r>
        <w:rPr>
          <w:rFonts w:ascii="Arial" w:hAnsi="Arial"/>
          <w:color w:val="1E293B"/>
          <w:sz w:val="20"/>
        </w:rPr>
        <w:t xml:space="preserve">     * Individuals placed under guardianship/conservatorship (*curatele*);</w:t>
      </w:r>
    </w:p>
    <w:p>
      <w:pPr>
        <w:spacing w:before="0" w:after="80" w:line="276" w:lineRule="auto"/>
      </w:pPr>
      <w:r>
        <w:rPr>
          <w:rFonts w:ascii="Arial" w:hAnsi="Arial"/>
          <w:color w:val="1E293B"/>
          <w:sz w:val="20"/>
        </w:rPr>
        <w:t xml:space="preserve">     * *Note:* Historical restrictions regarding married women were revoked by Supreme Court Circular Letter (SEMA) No. 3/1963 and Article 31 of the Marriage Law.</w:t>
      </w:r>
    </w:p>
    <w:p>
      <w:pPr>
        <w:spacing w:before="0" w:after="80" w:line="276" w:lineRule="auto"/>
      </w:pPr>
      <w:r>
        <w:rPr>
          <w:rFonts w:ascii="Arial" w:hAnsi="Arial"/>
          <w:color w:val="1E293B"/>
          <w:sz w:val="20"/>
        </w:rPr>
        <w:t xml:space="preserve">   * For legal entities (*rechtspersoon*), capacity is exercised by authorized corporate organs (e.g., the Board of Directors pursuant to Law No. 40/2007 on Limited Liability Companies / Company Law) in accordance with the entity’s Articles of Association.</w:t>
      </w:r>
    </w:p>
    <w:p>
      <w:pPr>
        <w:spacing w:before="0" w:after="80"/>
      </w:pPr>
    </w:p>
    <w:p>
      <w:pPr>
        <w:spacing w:before="160" w:after="80" w:line="276" w:lineRule="auto"/>
      </w:pPr>
      <w:r>
        <w:rPr>
          <w:rFonts w:ascii="Arial" w:hAnsi="Arial"/>
          <w:b/>
          <w:color w:val="0F172A"/>
          <w:sz w:val="21"/>
        </w:rPr>
        <w:t>##### B. Objective Requirements (Pertaining to the Object and Purpose)</w:t>
      </w:r>
    </w:p>
    <w:p>
      <w:pPr>
        <w:spacing w:before="0" w:after="80" w:line="276" w:lineRule="auto"/>
      </w:pPr>
      <w:r>
        <w:rPr>
          <w:rFonts w:ascii="Arial" w:hAnsi="Arial"/>
          <w:color w:val="1E293B"/>
          <w:sz w:val="20"/>
        </w:rPr>
        <w:t>3. **A Specific/Certain Subject Matter (*Bepaald Onderwerp*)**</w:t>
      </w:r>
    </w:p>
    <w:p>
      <w:pPr>
        <w:spacing w:before="0" w:after="80" w:line="276" w:lineRule="auto"/>
      </w:pPr>
      <w:r>
        <w:rPr>
          <w:rFonts w:ascii="Arial" w:hAnsi="Arial"/>
          <w:color w:val="1E293B"/>
          <w:sz w:val="20"/>
        </w:rPr>
        <w:t xml:space="preserve">   * The object of the contract must be determinable in type and capable of economic valuation (Articles 1332 and 1333 KUHPerdata).</w:t>
      </w:r>
    </w:p>
    <w:p>
      <w:pPr>
        <w:spacing w:before="0" w:after="80" w:line="276" w:lineRule="auto"/>
      </w:pPr>
      <w:r>
        <w:rPr>
          <w:rFonts w:ascii="Arial" w:hAnsi="Arial"/>
          <w:color w:val="1E293B"/>
          <w:sz w:val="20"/>
        </w:rPr>
        <w:t xml:space="preserve">   * This includes existing goods as well as future goods (*res futura*), provided their nature and quantity can be ascertained.</w:t>
      </w:r>
    </w:p>
    <w:p>
      <w:pPr>
        <w:spacing w:before="0" w:after="80" w:line="276" w:lineRule="auto"/>
      </w:pPr>
      <w:r>
        <w:rPr>
          <w:rFonts w:ascii="Arial" w:hAnsi="Arial"/>
          <w:color w:val="1E293B"/>
          <w:sz w:val="20"/>
        </w:rPr>
        <w:t>4. **A Lawful Cause (*Geoorloofde Oorzaak*)**</w:t>
      </w:r>
    </w:p>
    <w:p>
      <w:pPr>
        <w:spacing w:before="0" w:after="80" w:line="276" w:lineRule="auto"/>
      </w:pPr>
      <w:r>
        <w:rPr>
          <w:rFonts w:ascii="Arial" w:hAnsi="Arial"/>
          <w:color w:val="1E293B"/>
          <w:sz w:val="20"/>
        </w:rPr>
        <w:t xml:space="preserve">   * "Cause" refers to the objective purpose and legal justification of the agreement, distinguished from subjective personal motives.</w:t>
      </w:r>
    </w:p>
    <w:p>
      <w:pPr>
        <w:spacing w:before="0" w:after="80" w:line="276" w:lineRule="auto"/>
      </w:pPr>
      <w:r>
        <w:rPr>
          <w:rFonts w:ascii="Arial" w:hAnsi="Arial"/>
          <w:color w:val="1E293B"/>
          <w:sz w:val="20"/>
        </w:rPr>
        <w:t xml:space="preserve">   * Pursuant to Articles 1335 and 1337 KUHPerdata, a cause is prohibited and unlawful if it:</w:t>
      </w:r>
    </w:p>
    <w:p>
      <w:pPr>
        <w:spacing w:before="0" w:after="80" w:line="276" w:lineRule="auto"/>
      </w:pPr>
      <w:r>
        <w:rPr>
          <w:rFonts w:ascii="Arial" w:hAnsi="Arial"/>
          <w:color w:val="1E293B"/>
          <w:sz w:val="20"/>
        </w:rPr>
        <w:t xml:space="preserve">     * Violates mandatory provisions of law (*dwingend recht*);</w:t>
      </w:r>
    </w:p>
    <w:p>
      <w:pPr>
        <w:spacing w:before="0" w:after="80" w:line="276" w:lineRule="auto"/>
      </w:pPr>
      <w:r>
        <w:rPr>
          <w:rFonts w:ascii="Arial" w:hAnsi="Arial"/>
          <w:color w:val="1E293B"/>
          <w:sz w:val="20"/>
        </w:rPr>
        <w:t xml:space="preserve">     * Conflicts with public morality (*goede zeden*); or</w:t>
      </w:r>
    </w:p>
    <w:p>
      <w:pPr>
        <w:spacing w:before="0" w:after="80" w:line="276" w:lineRule="auto"/>
      </w:pPr>
      <w:r>
        <w:rPr>
          <w:rFonts w:ascii="Arial" w:hAnsi="Arial"/>
          <w:color w:val="1E293B"/>
          <w:sz w:val="20"/>
        </w:rPr>
        <w:t xml:space="preserve">     * Undermines public order/policy (*openbare orde*).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 Category of Defect | Breached Requirement | Legal Consequence | Characteristics of Invalidation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**Subjective Defect** | Element 1 (Consent) or Element 2 (Capacity) | **Voidable** (*vernietigbaar*) | The contract remains legally binding and enforceable until an aggrieved party or legal guardian successfully petitions a District Court for its annulment. The statutory limitation period to file for annulment is 5 years (Article 1454 KUHPerdata). |</w:t>
      </w:r>
    </w:p>
    <w:p>
      <w:pPr>
        <w:spacing w:before="0" w:after="80" w:line="276" w:lineRule="auto"/>
      </w:pPr>
      <w:r>
        <w:rPr>
          <w:rFonts w:ascii="Arial" w:hAnsi="Arial"/>
          <w:color w:val="1E293B"/>
          <w:sz w:val="20"/>
        </w:rPr>
        <w:t>| **Objective Defect** | Element 3 (Specific Object) or Element 4 (Lawful Cause) | **Null and Void *Ab Initio*** (*nietig*) | The contract is deemed to have never existed from the outset. No judicial declaration of annulment is strictly required to extinguish obligations, and neither party can demand specific performance under the null agreement.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Practical Risk Mitigation &amp; Contractual Compliance Guidance</w:t>
      </w:r>
    </w:p>
    <w:p>
      <w:pPr>
        <w:spacing w:before="0" w:after="80"/>
      </w:pPr>
    </w:p>
    <w:p>
      <w:pPr>
        <w:spacing w:before="0" w:after="80" w:line="276" w:lineRule="auto"/>
      </w:pPr>
      <w:r>
        <w:rPr>
          <w:rFonts w:ascii="Arial" w:hAnsi="Arial"/>
          <w:color w:val="1E293B"/>
          <w:sz w:val="20"/>
        </w:rPr>
        <w:t>1. **Corporate Authority Due Diligence:**</w:t>
      </w:r>
    </w:p>
    <w:p>
      <w:pPr>
        <w:spacing w:before="0" w:after="80" w:line="276" w:lineRule="auto"/>
      </w:pPr>
      <w:r>
        <w:rPr>
          <w:rFonts w:ascii="Arial" w:hAnsi="Arial"/>
          <w:color w:val="1E293B"/>
          <w:sz w:val="20"/>
        </w:rPr>
        <w:t xml:space="preserve">   * Verify the signatory's legal identity, the validity of Powers of Attorney, and relevant corporate appointments.</w:t>
      </w:r>
    </w:p>
    <w:p>
      <w:pPr>
        <w:spacing w:before="0" w:after="80" w:line="276" w:lineRule="auto"/>
      </w:pPr>
      <w:r>
        <w:rPr>
          <w:rFonts w:ascii="Arial" w:hAnsi="Arial"/>
          <w:color w:val="1E293B"/>
          <w:sz w:val="20"/>
        </w:rPr>
        <w:t xml:space="preserve">   * Review the latest Articles of Association to identify limitations of authority and ensure compliance with internal approval thresholds (e.g., Board of Commissioners or General Meeting of Shareholders approvals under the Company Law).</w:t>
      </w:r>
    </w:p>
    <w:p>
      <w:pPr>
        <w:spacing w:before="0" w:after="80" w:line="276" w:lineRule="auto"/>
      </w:pPr>
      <w:r>
        <w:rPr>
          <w:rFonts w:ascii="Arial" w:hAnsi="Arial"/>
          <w:color w:val="1E293B"/>
          <w:sz w:val="20"/>
        </w:rPr>
        <w:t>2. **Affirmation of Free Will and Representation:**</w:t>
      </w:r>
    </w:p>
    <w:p>
      <w:pPr>
        <w:spacing w:before="0" w:after="80" w:line="276" w:lineRule="auto"/>
      </w:pPr>
      <w:r>
        <w:rPr>
          <w:rFonts w:ascii="Arial" w:hAnsi="Arial"/>
          <w:color w:val="1E293B"/>
          <w:sz w:val="20"/>
        </w:rPr>
        <w:t xml:space="preserve">   * Incorporate standard "Representations and Warranties" clauses where each party represents that entry into the agreement is fully voluntary, duly authorized, and free from coercion or undue influence.</w:t>
      </w:r>
    </w:p>
    <w:p>
      <w:pPr>
        <w:spacing w:before="0" w:after="80" w:line="276" w:lineRule="auto"/>
      </w:pPr>
      <w:r>
        <w:rPr>
          <w:rFonts w:ascii="Arial" w:hAnsi="Arial"/>
          <w:color w:val="1E293B"/>
          <w:sz w:val="20"/>
        </w:rPr>
        <w:t>3. **Precision in Drafting Scope and Consideration:**</w:t>
      </w:r>
    </w:p>
    <w:p>
      <w:pPr>
        <w:spacing w:before="0" w:after="80" w:line="276" w:lineRule="auto"/>
      </w:pPr>
      <w:r>
        <w:rPr>
          <w:rFonts w:ascii="Arial" w:hAnsi="Arial"/>
          <w:color w:val="1E293B"/>
          <w:sz w:val="20"/>
        </w:rPr>
        <w:t xml:space="preserve">   * Explicitly define the Scope of Work (SOW), performance specifications, timelines, and payment structures to ensure the contract satisfies the objective requirement of an ascertainable subject matter.</w:t>
      </w:r>
    </w:p>
    <w:p>
      <w:pPr>
        <w:spacing w:before="0" w:after="80" w:line="276" w:lineRule="auto"/>
      </w:pPr>
      <w:r>
        <w:rPr>
          <w:rFonts w:ascii="Arial" w:hAnsi="Arial"/>
          <w:color w:val="1E293B"/>
          <w:sz w:val="20"/>
        </w:rPr>
        <w:t>4. **Mandatory Law and Public Policy Checks:**</w:t>
      </w:r>
    </w:p>
    <w:p>
      <w:pPr>
        <w:spacing w:before="0" w:after="80" w:line="276" w:lineRule="auto"/>
      </w:pPr>
      <w:r>
        <w:rPr>
          <w:rFonts w:ascii="Arial" w:hAnsi="Arial"/>
          <w:color w:val="1E293B"/>
          <w:sz w:val="20"/>
        </w:rPr>
        <w:t xml:space="preserve">   * Ensure that the subject matter complies with mandatory Indonesian statutes, including statutory language requirements (Law No. 24/2009 mandating Indonesian language execution) and mandatory currency regulations (Law No. 7/2011 requiring the use of Indonesian Rupiah for domestic transactions).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