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"Article 1320"</w:t>
      </w:r>
    </w:p>
    <w:p>
      <w:pPr>
        <w:spacing w:before="0" w:after="360"/>
        <w:jc w:val="center"/>
      </w:pPr>
      <w:r>
        <w:rPr>
          <w:rFonts w:ascii="Arial" w:hAnsi="Arial"/>
          <w:color w:val="64748B"/>
          <w:sz w:val="17"/>
        </w:rPr>
        <w:t>CATEGORY: CORPORATE &amp; INVESTMENT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Normatif Pasal 1320 Kitab Undang-Undang Hukum Perdata (KUHPerdata)</w:t>
      </w:r>
    </w:p>
    <w:p>
      <w:pPr>
        <w:spacing w:before="0" w:after="80" w:line="276" w:lineRule="auto"/>
      </w:pPr>
      <w:r>
        <w:rPr>
          <w:rFonts w:ascii="Arial" w:hAnsi="Arial"/>
          <w:color w:val="1E293B"/>
          <w:sz w:val="20"/>
        </w:rPr>
        <w:t>Pasal 1320 KUHPerdata menetapkan empat syarat mutlak bagi sahnya suatu perjanjian:</w:t>
      </w:r>
    </w:p>
    <w:p>
      <w:pPr>
        <w:spacing w:before="0" w:after="80" w:line="276" w:lineRule="auto"/>
      </w:pPr>
      <w:r>
        <w:rPr>
          <w:rFonts w:ascii="Arial" w:hAnsi="Arial"/>
          <w:color w:val="1E293B"/>
          <w:sz w:val="20"/>
        </w:rPr>
        <w:t>&gt; *"Supaya terjadi persetujuan yang sah, perlu dipenuhi empat syarat:*</w:t>
      </w:r>
    </w:p>
    <w:p>
      <w:pPr>
        <w:spacing w:before="0" w:after="80" w:line="276" w:lineRule="auto"/>
      </w:pPr>
      <w:r>
        <w:rPr>
          <w:rFonts w:ascii="Arial" w:hAnsi="Arial"/>
          <w:color w:val="1E293B"/>
          <w:sz w:val="20"/>
        </w:rPr>
        <w:t>&gt; *1. kesepakatan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pokok persoalan tertentu;*</w:t>
      </w:r>
    </w:p>
    <w:p>
      <w:pPr>
        <w:spacing w:before="0" w:after="80" w:line="276" w:lineRule="auto"/>
      </w:pPr>
      <w:r>
        <w:rPr>
          <w:rFonts w:ascii="Arial" w:hAnsi="Arial"/>
          <w:color w:val="1E293B"/>
          <w:sz w:val="20"/>
        </w:rPr>
        <w:t>&gt; *4. suatu sebab yang tidak terlarang."*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Dekonstruksi Elemen Hukum</w:t>
      </w:r>
    </w:p>
    <w:p>
      <w:pPr>
        <w:spacing w:before="0" w:after="80"/>
      </w:pPr>
    </w:p>
    <w:p>
      <w:pPr>
        <w:spacing w:before="160" w:after="80" w:line="276" w:lineRule="auto"/>
      </w:pPr>
      <w:r>
        <w:rPr>
          <w:rFonts w:ascii="Arial" w:hAnsi="Arial"/>
          <w:b/>
          <w:color w:val="0F172A"/>
          <w:sz w:val="21"/>
        </w:rPr>
        <w:t>##### A. Syarat Subjektif (Mengenai Para Pihak Pembuat Kontrak)</w:t>
      </w:r>
    </w:p>
    <w:p>
      <w:pPr>
        <w:spacing w:before="0" w:after="80" w:line="276" w:lineRule="auto"/>
      </w:pPr>
      <w:r>
        <w:rPr>
          <w:rFonts w:ascii="Arial" w:hAnsi="Arial"/>
          <w:color w:val="1E293B"/>
          <w:sz w:val="20"/>
        </w:rPr>
        <w:t>1. **Kesepakatan Para Pihak (*Consensus / Toestemming*)**</w:t>
      </w:r>
    </w:p>
    <w:p>
      <w:pPr>
        <w:spacing w:before="0" w:after="80" w:line="276" w:lineRule="auto"/>
      </w:pPr>
      <w:r>
        <w:rPr>
          <w:rFonts w:ascii="Arial" w:hAnsi="Arial"/>
          <w:color w:val="1E293B"/>
          <w:sz w:val="20"/>
        </w:rPr>
        <w:t xml:space="preserve">   * Perjanjian lahir seketika tercapainya titik temu kehendak (*consensus*) bebas antarpara pihak.</w:t>
      </w:r>
    </w:p>
    <w:p>
      <w:pPr>
        <w:spacing w:before="0" w:after="80" w:line="276" w:lineRule="auto"/>
      </w:pPr>
      <w:r>
        <w:rPr>
          <w:rFonts w:ascii="Arial" w:hAnsi="Arial"/>
          <w:color w:val="1E293B"/>
          <w:sz w:val="20"/>
        </w:rPr>
        <w:t xml:space="preserve">   * Kesepakatan tidak sah apabila terjadi akibat **Cacat Kehendak (*Wilsgebreke*)** sebagaimana diatur dalam Pasal 1321 KUHPerdata, yang mencakup:</w:t>
      </w:r>
    </w:p>
    <w:p>
      <w:pPr>
        <w:spacing w:before="0" w:after="80" w:line="276" w:lineRule="auto"/>
      </w:pPr>
      <w:r>
        <w:rPr>
          <w:rFonts w:ascii="Arial" w:hAnsi="Arial"/>
          <w:color w:val="1E293B"/>
          <w:sz w:val="20"/>
        </w:rPr>
        <w:t xml:space="preserve">     * **Kekhilafan (*Dwaling*):** Kesesatan mengenai hakikat objek atau identitas pihak lawan.</w:t>
      </w:r>
    </w:p>
    <w:p>
      <w:pPr>
        <w:spacing w:before="0" w:after="80" w:line="276" w:lineRule="auto"/>
      </w:pPr>
      <w:r>
        <w:rPr>
          <w:rFonts w:ascii="Arial" w:hAnsi="Arial"/>
          <w:color w:val="1E293B"/>
          <w:sz w:val="20"/>
        </w:rPr>
        <w:t xml:space="preserve">     * **Paksaan (*Dwang*):** Adanya ancaman fisik atau psikis yang melawan hukum.</w:t>
      </w:r>
    </w:p>
    <w:p>
      <w:pPr>
        <w:spacing w:before="0" w:after="80" w:line="276" w:lineRule="auto"/>
      </w:pPr>
      <w:r>
        <w:rPr>
          <w:rFonts w:ascii="Arial" w:hAnsi="Arial"/>
          <w:color w:val="1E293B"/>
          <w:sz w:val="20"/>
        </w:rPr>
        <w:t xml:space="preserve">     * **Penipuan (*Bedrog*):** Tipu muslihat atau rekayasa rangkaian kebohongan dari salah satu pihak.</w:t>
      </w:r>
    </w:p>
    <w:p>
      <w:pPr>
        <w:spacing w:before="0" w:after="80" w:line="276" w:lineRule="auto"/>
      </w:pPr>
      <w:r>
        <w:rPr>
          <w:rFonts w:ascii="Arial" w:hAnsi="Arial"/>
          <w:color w:val="1E293B"/>
          <w:sz w:val="20"/>
        </w:rPr>
        <w:t xml:space="preserve">     * *(Doktrin modern menambahkan Penyalahgunaan Keadaan / *Misbruik van Omstandigheden*).*</w:t>
      </w:r>
    </w:p>
    <w:p>
      <w:pPr>
        <w:spacing w:before="0" w:after="80"/>
      </w:pPr>
    </w:p>
    <w:p>
      <w:pPr>
        <w:spacing w:before="0" w:after="80" w:line="276" w:lineRule="auto"/>
      </w:pPr>
      <w:r>
        <w:rPr>
          <w:rFonts w:ascii="Arial" w:hAnsi="Arial"/>
          <w:color w:val="1E293B"/>
          <w:sz w:val="20"/>
        </w:rPr>
        <w:t>2. **Kecakapan Bertindak (*Bekwaamheid*)**</w:t>
      </w:r>
    </w:p>
    <w:p>
      <w:pPr>
        <w:spacing w:before="0" w:after="80" w:line="276" w:lineRule="auto"/>
      </w:pPr>
      <w:r>
        <w:rPr>
          <w:rFonts w:ascii="Arial" w:hAnsi="Arial"/>
          <w:color w:val="1E293B"/>
          <w:sz w:val="20"/>
        </w:rPr>
        <w:t xml:space="preserve">   * Asas umumnya adalah setiap orang cakap membuat perikatan, kecuali dinyatakan tidak cakap oleh undang-undang (Pasal 1329 KUHPerdata).</w:t>
      </w:r>
    </w:p>
    <w:p>
      <w:pPr>
        <w:spacing w:before="0" w:after="80" w:line="276" w:lineRule="auto"/>
      </w:pPr>
      <w:r>
        <w:rPr>
          <w:rFonts w:ascii="Arial" w:hAnsi="Arial"/>
          <w:color w:val="1E293B"/>
          <w:sz w:val="20"/>
        </w:rPr>
        <w:t xml:space="preserve">   * Kategori pihak yang **tidak cakap** menurut Pasal 1330 KUHPerdata (diperbarui oleh UU Perlindungan Anak dan doktrin peradilan):</w:t>
      </w:r>
    </w:p>
    <w:p>
      <w:pPr>
        <w:spacing w:before="0" w:after="80" w:line="276" w:lineRule="auto"/>
      </w:pPr>
      <w:r>
        <w:rPr>
          <w:rFonts w:ascii="Arial" w:hAnsi="Arial"/>
          <w:color w:val="1E293B"/>
          <w:sz w:val="20"/>
        </w:rPr>
        <w:t xml:space="preserve">     * Anak di bawah umur (belum berusia 18 tahun atau belum pernah menikah).</w:t>
      </w:r>
    </w:p>
    <w:p>
      <w:pPr>
        <w:spacing w:before="0" w:after="80" w:line="276" w:lineRule="auto"/>
      </w:pPr>
      <w:r>
        <w:rPr>
          <w:rFonts w:ascii="Arial" w:hAnsi="Arial"/>
          <w:color w:val="1E293B"/>
          <w:sz w:val="20"/>
        </w:rPr>
        <w:t xml:space="preserve">     * Orang yang ditaruh di bawah pengampuan (*curatele*), misalnya karena gangguan mental/kejiwaan atau pemborosan.</w:t>
      </w:r>
    </w:p>
    <w:p>
      <w:pPr>
        <w:spacing w:before="0" w:after="80"/>
      </w:pPr>
    </w:p>
    <w:p>
      <w:pPr>
        <w:spacing w:before="160" w:after="80" w:line="276" w:lineRule="auto"/>
      </w:pPr>
      <w:r>
        <w:rPr>
          <w:rFonts w:ascii="Arial" w:hAnsi="Arial"/>
          <w:b/>
          <w:color w:val="0F172A"/>
          <w:sz w:val="21"/>
        </w:rPr>
        <w:t>##### B. Syarat Objektif (Mengenai Substansi/Objek Kontrak)</w:t>
      </w:r>
    </w:p>
    <w:p>
      <w:pPr>
        <w:spacing w:before="0" w:after="80" w:line="276" w:lineRule="auto"/>
      </w:pPr>
      <w:r>
        <w:rPr>
          <w:rFonts w:ascii="Arial" w:hAnsi="Arial"/>
          <w:color w:val="1E293B"/>
          <w:sz w:val="20"/>
        </w:rPr>
        <w:t>3. **Suatu Pokok Persoalan Tertentu (*Bepaald Onderwerp*)**</w:t>
      </w:r>
    </w:p>
    <w:p>
      <w:pPr>
        <w:spacing w:before="0" w:after="80" w:line="276" w:lineRule="auto"/>
      </w:pPr>
      <w:r>
        <w:rPr>
          <w:rFonts w:ascii="Arial" w:hAnsi="Arial"/>
          <w:color w:val="1E293B"/>
          <w:sz w:val="20"/>
        </w:rPr>
        <w:t xml:space="preserve">   * Objek perjanjian harus dapat ditentukan jenisnya (Pasal 1332 dan 1333 KUHPerdata).</w:t>
      </w:r>
    </w:p>
    <w:p>
      <w:pPr>
        <w:spacing w:before="0" w:after="80" w:line="276" w:lineRule="auto"/>
      </w:pPr>
      <w:r>
        <w:rPr>
          <w:rFonts w:ascii="Arial" w:hAnsi="Arial"/>
          <w:color w:val="1E293B"/>
          <w:sz w:val="20"/>
        </w:rPr>
        <w:t xml:space="preserve">   * Jumlah objek dapat belum ditentukan secara pasti, asalkan di kemudian hari dapat dihitung atau ditentukan mekanismenya secara spesifik.</w:t>
      </w:r>
    </w:p>
    <w:p>
      <w:pPr>
        <w:spacing w:before="0" w:after="80" w:line="276" w:lineRule="auto"/>
      </w:pPr>
      <w:r>
        <w:rPr>
          <w:rFonts w:ascii="Arial" w:hAnsi="Arial"/>
          <w:color w:val="1E293B"/>
          <w:sz w:val="20"/>
        </w:rPr>
        <w:t xml:space="preserve">   * Objek harus berupa barang/jasa yang bernilai ekonomis dan dapat diperdagangkan secara sah.</w:t>
      </w:r>
    </w:p>
    <w:p>
      <w:pPr>
        <w:spacing w:before="0" w:after="80"/>
      </w:pPr>
    </w:p>
    <w:p>
      <w:pPr>
        <w:spacing w:before="0" w:after="80" w:line="276" w:lineRule="auto"/>
      </w:pPr>
      <w:r>
        <w:rPr>
          <w:rFonts w:ascii="Arial" w:hAnsi="Arial"/>
          <w:color w:val="1E293B"/>
          <w:sz w:val="20"/>
        </w:rPr>
        <w:t>4. **Kausa yang Tidak Terlarang (*Geoorloofde Oorzaak*)**</w:t>
      </w:r>
    </w:p>
    <w:p>
      <w:pPr>
        <w:spacing w:before="0" w:after="80" w:line="276" w:lineRule="auto"/>
      </w:pPr>
      <w:r>
        <w:rPr>
          <w:rFonts w:ascii="Arial" w:hAnsi="Arial"/>
          <w:color w:val="1E293B"/>
          <w:sz w:val="20"/>
        </w:rPr>
        <w:t xml:space="preserve">   * Yang dimaksud dengan "kausa" (*causa*) adalah tujuan atau isi materiil dari perjanjian, bukan motif subjektif pembuatnya.</w:t>
      </w:r>
    </w:p>
    <w:p>
      <w:pPr>
        <w:spacing w:before="0" w:after="80" w:line="276" w:lineRule="auto"/>
      </w:pPr>
      <w:r>
        <w:rPr>
          <w:rFonts w:ascii="Arial" w:hAnsi="Arial"/>
          <w:color w:val="1E293B"/>
          <w:sz w:val="20"/>
        </w:rPr>
        <w:t xml:space="preserve">   * Berdasarkan Pasal 1335 dan Pasal 1337 KUHPerdata, suatu kausa dilarang jika:</w:t>
      </w:r>
    </w:p>
    <w:p>
      <w:pPr>
        <w:spacing w:before="0" w:after="80" w:line="276" w:lineRule="auto"/>
      </w:pPr>
      <w:r>
        <w:rPr>
          <w:rFonts w:ascii="Arial" w:hAnsi="Arial"/>
          <w:color w:val="1E293B"/>
          <w:sz w:val="20"/>
        </w:rPr>
        <w:t xml:space="preserve">     * Dilarang oleh peraturan perundang-undangan;</w:t>
      </w:r>
    </w:p>
    <w:p>
      <w:pPr>
        <w:spacing w:before="0" w:after="80" w:line="276" w:lineRule="auto"/>
      </w:pPr>
      <w:r>
        <w:rPr>
          <w:rFonts w:ascii="Arial" w:hAnsi="Arial"/>
          <w:color w:val="1E293B"/>
          <w:sz w:val="20"/>
        </w:rPr>
        <w:t xml:space="preserve">     * Bertentangan dengan ketertiban umum (*openbare orde*); atau</w:t>
      </w:r>
    </w:p>
    <w:p>
      <w:pPr>
        <w:spacing w:before="0" w:after="80" w:line="276" w:lineRule="auto"/>
      </w:pPr>
      <w:r>
        <w:rPr>
          <w:rFonts w:ascii="Arial" w:hAnsi="Arial"/>
          <w:color w:val="1E293B"/>
          <w:sz w:val="20"/>
        </w:rPr>
        <w:t xml:space="preserve">     * Bertentangan dengan kesusilaan yang baik (*goede zeden*).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Konsekuensi Yuridis Ketidakpenuhan Syarat</w:t>
      </w:r>
    </w:p>
    <w:p>
      <w:pPr>
        <w:spacing w:before="0" w:after="80"/>
      </w:pPr>
    </w:p>
    <w:p>
      <w:pPr>
        <w:spacing w:before="0" w:after="80" w:line="276" w:lineRule="auto"/>
      </w:pPr>
      <w:r>
        <w:rPr>
          <w:rFonts w:ascii="Arial" w:hAnsi="Arial"/>
          <w:color w:val="1E293B"/>
          <w:sz w:val="20"/>
        </w:rPr>
        <w:t>| Kategori Syarat | Unsur Pasal 1320 | Konsekuensi Hukum | Status Kontrak | Mekanisme Pembatalan |</w:t>
      </w:r>
    </w:p>
    <w:p>
      <w:pPr>
        <w:spacing w:before="0" w:after="80" w:line="276" w:lineRule="auto"/>
      </w:pPr>
      <w:r>
        <w:rPr>
          <w:rFonts w:ascii="Arial" w:hAnsi="Arial"/>
          <w:color w:val="1E293B"/>
          <w:sz w:val="20"/>
        </w:rPr>
        <w:t>| :--- | :--- | :--- | :--- | :--- |</w:t>
      </w:r>
    </w:p>
    <w:p>
      <w:pPr>
        <w:spacing w:before="0" w:after="80" w:line="276" w:lineRule="auto"/>
      </w:pPr>
      <w:r>
        <w:rPr>
          <w:rFonts w:ascii="Arial" w:hAnsi="Arial"/>
          <w:color w:val="1E293B"/>
          <w:sz w:val="20"/>
        </w:rPr>
        <w:t>| **Syarat Subjektif** | 1. Kesepakatan&lt;br&gt;2. Kecakapan | **Dapat Dibatalkan** (*Vernietigbaar / Voidable*) | Perjanjian tetap sah dan mengikat para pihak sampai hakim membatalkannya atas permohonan pihak yang tidak cakap/korban cacat kehendak. | Gugatan pembatalan ke Pengadilan Negeri (*Action Pauliana* / pembatalan kontrak) dalam jangka waktu daluwarsa 5 tahun (Pasal 1454 KUHPerdata). |</w:t>
      </w:r>
    </w:p>
    <w:p>
      <w:pPr>
        <w:spacing w:before="0" w:after="80" w:line="276" w:lineRule="auto"/>
      </w:pPr>
      <w:r>
        <w:rPr>
          <w:rFonts w:ascii="Arial" w:hAnsi="Arial"/>
          <w:color w:val="1E293B"/>
          <w:sz w:val="20"/>
        </w:rPr>
        <w:t>| **Syarat Objektif** | 3. Objek Tertentu&lt;br&gt;4. Kausa yang Halal | **Batal Demi Hukum** (*Nietig van Rechtswege / Null and Void Ab Initio*) | Perjanjian dianggap tidak pernah ada sejak awal. Tidak memiliki akibat hukum apa pun. | Dapat diajukan gugatan pembatalan atau dijadikan eksepsi; para pihak wajib dikembalikan ke keadaan semula (*restitutio in integrum*).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Pedoman Kepatuhan Praktis bagi Korporasi &amp; Praktisi Hukum</w:t>
      </w:r>
    </w:p>
    <w:p>
      <w:pPr>
        <w:spacing w:before="0" w:after="80" w:line="276" w:lineRule="auto"/>
      </w:pPr>
      <w:r>
        <w:rPr>
          <w:rFonts w:ascii="Arial" w:hAnsi="Arial"/>
          <w:color w:val="1E293B"/>
          <w:sz w:val="20"/>
        </w:rPr>
        <w:t xml:space="preserve">1. **Verifikasi Kewenangan Korporasi (*Capacity &amp; Authority Check*):** </w:t>
      </w:r>
    </w:p>
    <w:p>
      <w:pPr>
        <w:spacing w:before="0" w:after="80" w:line="276" w:lineRule="auto"/>
      </w:pPr>
      <w:r>
        <w:rPr>
          <w:rFonts w:ascii="Arial" w:hAnsi="Arial"/>
          <w:color w:val="1E293B"/>
          <w:sz w:val="20"/>
        </w:rPr>
        <w:t xml:space="preserve">   * Pastikan penandatangan memiliki kapasitas mewakili perseroan berdasarkan Anggaran Dasar terakhir, UU Perseroan Terbatas No. 40/2007, atau Surat Kuasa Khusus (*Special Power of Attorney*) yang sah.</w:t>
      </w:r>
    </w:p>
    <w:p>
      <w:pPr>
        <w:spacing w:before="0" w:after="80" w:line="276" w:lineRule="auto"/>
      </w:pPr>
      <w:r>
        <w:rPr>
          <w:rFonts w:ascii="Arial" w:hAnsi="Arial"/>
          <w:color w:val="1E293B"/>
          <w:sz w:val="20"/>
        </w:rPr>
        <w:t xml:space="preserve">   * Periksa persetujuan internal yang diwajibkan (misalnya: Persetujuan Dewan Komisaris atau Rapat Umum Pemegang Saham).</w:t>
      </w:r>
    </w:p>
    <w:p>
      <w:pPr>
        <w:spacing w:before="0" w:after="80" w:line="276" w:lineRule="auto"/>
      </w:pPr>
      <w:r>
        <w:rPr>
          <w:rFonts w:ascii="Arial" w:hAnsi="Arial"/>
          <w:color w:val="1E293B"/>
          <w:sz w:val="20"/>
        </w:rPr>
        <w:t xml:space="preserve">2. **Klausul Pernyataan dan Jaminan (*Reps and Warranties*):** </w:t>
      </w:r>
    </w:p>
    <w:p>
      <w:pPr>
        <w:spacing w:before="0" w:after="80" w:line="276" w:lineRule="auto"/>
      </w:pPr>
      <w:r>
        <w:rPr>
          <w:rFonts w:ascii="Arial" w:hAnsi="Arial"/>
          <w:color w:val="1E293B"/>
          <w:sz w:val="20"/>
        </w:rPr>
        <w:t xml:space="preserve">   * Cantumkan klausul tegas bahwa masing-masing pihak cakap hukum, berwenang, dan tidak menandatangani kontrak dalam kondisi tekanan, paksaan, penipuan, maupun kesesatan pemahaman.</w:t>
      </w:r>
    </w:p>
    <w:p>
      <w:pPr>
        <w:spacing w:before="0" w:after="80" w:line="276" w:lineRule="auto"/>
      </w:pPr>
      <w:r>
        <w:rPr>
          <w:rFonts w:ascii="Arial" w:hAnsi="Arial"/>
          <w:color w:val="1E293B"/>
          <w:sz w:val="20"/>
        </w:rPr>
        <w:t xml:space="preserve">3. **Penyusunan Lingkup Kerja Terukur (*Identifiable Scope of Work*):** </w:t>
      </w:r>
    </w:p>
    <w:p>
      <w:pPr>
        <w:spacing w:before="0" w:after="80" w:line="276" w:lineRule="auto"/>
      </w:pPr>
      <w:r>
        <w:rPr>
          <w:rFonts w:ascii="Arial" w:hAnsi="Arial"/>
          <w:color w:val="1E293B"/>
          <w:sz w:val="20"/>
        </w:rPr>
        <w:t xml:space="preserve">   * Rumuskan objek kontrak (barang, jasa, royalti, dsb.) secara presisi guna mencegah dalil bahwa objek tidak jelas atau tidak terdefinisi (*vagueness*).</w:t>
      </w:r>
    </w:p>
    <w:p>
      <w:pPr>
        <w:spacing w:before="0" w:after="80" w:line="276" w:lineRule="auto"/>
      </w:pPr>
      <w:r>
        <w:rPr>
          <w:rFonts w:ascii="Arial" w:hAnsi="Arial"/>
          <w:color w:val="1E293B"/>
          <w:sz w:val="20"/>
        </w:rPr>
        <w:t xml:space="preserve">4. **Uji Kepatuhan Peraturan Perundang-undangan (*Legality Clearance*):** </w:t>
      </w:r>
    </w:p>
    <w:p>
      <w:pPr>
        <w:spacing w:before="0" w:after="80" w:line="276" w:lineRule="auto"/>
      </w:pPr>
      <w:r>
        <w:rPr>
          <w:rFonts w:ascii="Arial" w:hAnsi="Arial"/>
          <w:color w:val="1E293B"/>
          <w:sz w:val="20"/>
        </w:rPr>
        <w:t xml:space="preserve">   * Pastikan substansi transaksi tidak melanggar ketentuan hukum yang memaksa (*dwingend recht*), regulasi perizinan sektor terkait, rezim persaingan usaha (UU No. 5/1999), maupun norma kesusilaan/ketertiban umum agar tidak gugur karena pelanggaran kausa yang halal.</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《印度尼西亚民法典》（KUHPerdata）第1320条法定文本</w:t>
      </w:r>
    </w:p>
    <w:p>
      <w:pPr>
        <w:spacing w:before="0" w:after="80" w:line="276" w:lineRule="auto"/>
      </w:pPr>
      <w:r>
        <w:rPr>
          <w:rFonts w:ascii="Arial" w:hAnsi="Arial"/>
          <w:color w:val="1E293B"/>
          <w:sz w:val="20"/>
        </w:rPr>
        <w:t>《印度尼西亚民法典》第1320条确立了合同生效的四项法定实体要件：</w:t>
      </w:r>
    </w:p>
    <w:p>
      <w:pPr>
        <w:spacing w:before="0" w:after="80" w:line="276" w:lineRule="auto"/>
      </w:pPr>
      <w:r>
        <w:rPr>
          <w:rFonts w:ascii="Arial" w:hAnsi="Arial"/>
          <w:color w:val="1E293B"/>
          <w:sz w:val="20"/>
        </w:rPr>
        <w:t>&gt; *“合同有效成立，必须具备以下四项要件：*</w:t>
      </w:r>
    </w:p>
    <w:p>
      <w:pPr>
        <w:spacing w:before="0" w:after="80" w:line="276" w:lineRule="auto"/>
      </w:pPr>
      <w:r>
        <w:rPr>
          <w:rFonts w:ascii="Arial" w:hAnsi="Arial"/>
          <w:color w:val="1E293B"/>
          <w:sz w:val="20"/>
        </w:rPr>
        <w:t>&gt; *1. 订约当事人的一致同意；*</w:t>
      </w:r>
    </w:p>
    <w:p>
      <w:pPr>
        <w:spacing w:before="0" w:after="80" w:line="276" w:lineRule="auto"/>
      </w:pPr>
      <w:r>
        <w:rPr>
          <w:rFonts w:ascii="Arial" w:hAnsi="Arial"/>
          <w:color w:val="1E293B"/>
          <w:sz w:val="20"/>
        </w:rPr>
        <w:t>&gt; *2. 订立债务关系的缔约行为能力；*</w:t>
      </w:r>
    </w:p>
    <w:p>
      <w:pPr>
        <w:spacing w:before="0" w:after="80" w:line="276" w:lineRule="auto"/>
      </w:pPr>
      <w:r>
        <w:rPr>
          <w:rFonts w:ascii="Arial" w:hAnsi="Arial"/>
          <w:color w:val="1E293B"/>
          <w:sz w:val="20"/>
        </w:rPr>
        <w:t>&gt; *3. 确定具体的标的物；*</w:t>
      </w:r>
    </w:p>
    <w:p>
      <w:pPr>
        <w:spacing w:before="0" w:after="80" w:line="276" w:lineRule="auto"/>
      </w:pPr>
      <w:r>
        <w:rPr>
          <w:rFonts w:ascii="Arial" w:hAnsi="Arial"/>
          <w:color w:val="1E293B"/>
          <w:sz w:val="20"/>
        </w:rPr>
        <w:t>&gt; *4. 合法的合同原因（对价/目的）。”*</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法定构成要件深度剖析</w:t>
      </w:r>
    </w:p>
    <w:p>
      <w:pPr>
        <w:spacing w:before="0" w:after="80"/>
      </w:pPr>
    </w:p>
    <w:p>
      <w:pPr>
        <w:spacing w:before="160" w:after="80" w:line="276" w:lineRule="auto"/>
      </w:pPr>
      <w:r>
        <w:rPr>
          <w:rFonts w:ascii="Arial" w:hAnsi="Arial"/>
          <w:b/>
          <w:color w:val="0F172A"/>
          <w:sz w:val="21"/>
        </w:rPr>
        <w:t>##### A. 主观要件（针对缔约当事人本身）</w:t>
      </w:r>
    </w:p>
    <w:p>
      <w:pPr>
        <w:spacing w:before="0" w:after="80" w:line="276" w:lineRule="auto"/>
      </w:pPr>
      <w:r>
        <w:rPr>
          <w:rFonts w:ascii="Arial" w:hAnsi="Arial"/>
          <w:color w:val="1E293B"/>
          <w:sz w:val="20"/>
        </w:rPr>
        <w:t>1. **当事人合意（*Kesepakatan / Consensus*）**</w:t>
      </w:r>
    </w:p>
    <w:p>
      <w:pPr>
        <w:spacing w:before="0" w:after="80" w:line="276" w:lineRule="auto"/>
      </w:pPr>
      <w:r>
        <w:rPr>
          <w:rFonts w:ascii="Arial" w:hAnsi="Arial"/>
          <w:color w:val="1E293B"/>
          <w:sz w:val="20"/>
        </w:rPr>
        <w:t xml:space="preserve">   * 合同自缔约各方达成自由、真实的意思表示一致时即告成立。</w:t>
      </w:r>
    </w:p>
    <w:p>
      <w:pPr>
        <w:spacing w:before="0" w:after="80" w:line="276" w:lineRule="auto"/>
      </w:pPr>
      <w:r>
        <w:rPr>
          <w:rFonts w:ascii="Arial" w:hAnsi="Arial"/>
          <w:color w:val="1E293B"/>
          <w:sz w:val="20"/>
        </w:rPr>
        <w:t xml:space="preserve">   * 根据《民法典》第1321条，若存在**意思表示瑕疵（*Wilsgebreke*）**，则合意无效力：</w:t>
      </w:r>
    </w:p>
    <w:p>
      <w:pPr>
        <w:spacing w:before="0" w:after="80" w:line="276" w:lineRule="auto"/>
      </w:pPr>
      <w:r>
        <w:rPr>
          <w:rFonts w:ascii="Arial" w:hAnsi="Arial"/>
          <w:color w:val="1E293B"/>
          <w:sz w:val="20"/>
        </w:rPr>
        <w:t xml:space="preserve">     * **重大误解（*Dwaling*）：** 对合同标的实质属性或合同相对人身份产生错误认知。</w:t>
      </w:r>
    </w:p>
    <w:p>
      <w:pPr>
        <w:spacing w:before="0" w:after="80" w:line="276" w:lineRule="auto"/>
      </w:pPr>
      <w:r>
        <w:rPr>
          <w:rFonts w:ascii="Arial" w:hAnsi="Arial"/>
          <w:color w:val="1E293B"/>
          <w:sz w:val="20"/>
        </w:rPr>
        <w:t xml:space="preserve">     * **强迫（*Dwang*）：** 受到违法的人身或精神胁迫。</w:t>
      </w:r>
    </w:p>
    <w:p>
      <w:pPr>
        <w:spacing w:before="0" w:after="80" w:line="276" w:lineRule="auto"/>
      </w:pPr>
      <w:r>
        <w:rPr>
          <w:rFonts w:ascii="Arial" w:hAnsi="Arial"/>
          <w:color w:val="1E293B"/>
          <w:sz w:val="20"/>
        </w:rPr>
        <w:t xml:space="preserve">     * **欺诈（*Bedrog*）：** 一方利用诡计或刻意编造虚假事实诱使对方签约。</w:t>
      </w:r>
    </w:p>
    <w:p>
      <w:pPr>
        <w:spacing w:before="0" w:after="80" w:line="276" w:lineRule="auto"/>
      </w:pPr>
      <w:r>
        <w:rPr>
          <w:rFonts w:ascii="Arial" w:hAnsi="Arial"/>
          <w:color w:val="1E293B"/>
          <w:sz w:val="20"/>
        </w:rPr>
        <w:t xml:space="preserve">     * *（现代司法判例与学说亦引入了“滥用优势地位/乘人之危”（Misbruik van Omstandigheden）原则）。*</w:t>
      </w:r>
    </w:p>
    <w:p>
      <w:pPr>
        <w:spacing w:before="0" w:after="80"/>
      </w:pPr>
    </w:p>
    <w:p>
      <w:pPr>
        <w:spacing w:before="0" w:after="80" w:line="276" w:lineRule="auto"/>
      </w:pPr>
      <w:r>
        <w:rPr>
          <w:rFonts w:ascii="Arial" w:hAnsi="Arial"/>
          <w:color w:val="1E293B"/>
          <w:sz w:val="20"/>
        </w:rPr>
        <w:t>2. **缔约行为能力（*Kecakapan / Capacity*）**</w:t>
      </w:r>
    </w:p>
    <w:p>
      <w:pPr>
        <w:spacing w:before="0" w:after="80" w:line="276" w:lineRule="auto"/>
      </w:pPr>
      <w:r>
        <w:rPr>
          <w:rFonts w:ascii="Arial" w:hAnsi="Arial"/>
          <w:color w:val="1E293B"/>
          <w:sz w:val="20"/>
        </w:rPr>
        <w:t xml:space="preserve">   * 原则上，法律拟制所有人均享有缔约行为能力，除非法律另有除外规定（第1329条）。</w:t>
      </w:r>
    </w:p>
    <w:p>
      <w:pPr>
        <w:spacing w:before="0" w:after="80" w:line="276" w:lineRule="auto"/>
      </w:pPr>
      <w:r>
        <w:rPr>
          <w:rFonts w:ascii="Arial" w:hAnsi="Arial"/>
          <w:color w:val="1E293B"/>
          <w:sz w:val="20"/>
        </w:rPr>
        <w:t xml:space="preserve">   * 根据第1330条（结合最新《儿童保护法》及司法判例准则），**无缔约行为能力人**包括：</w:t>
      </w:r>
    </w:p>
    <w:p>
      <w:pPr>
        <w:spacing w:before="0" w:after="80" w:line="276" w:lineRule="auto"/>
      </w:pPr>
      <w:r>
        <w:rPr>
          <w:rFonts w:ascii="Arial" w:hAnsi="Arial"/>
          <w:color w:val="1E293B"/>
          <w:sz w:val="20"/>
        </w:rPr>
        <w:t xml:space="preserve">     * 未成年人（未满18周岁且从未结婚者）；</w:t>
      </w:r>
    </w:p>
    <w:p>
      <w:pPr>
        <w:spacing w:before="0" w:after="80" w:line="276" w:lineRule="auto"/>
      </w:pPr>
      <w:r>
        <w:rPr>
          <w:rFonts w:ascii="Arial" w:hAnsi="Arial"/>
          <w:color w:val="1E293B"/>
          <w:sz w:val="20"/>
        </w:rPr>
        <w:t xml:space="preserve">     * 受监护人（因精神障碍、心智缺陷或严重挥霍财产而被法院裁定置于监护之下的人员）。</w:t>
      </w:r>
    </w:p>
    <w:p>
      <w:pPr>
        <w:spacing w:before="0" w:after="80"/>
      </w:pPr>
    </w:p>
    <w:p>
      <w:pPr>
        <w:spacing w:before="160" w:after="80" w:line="276" w:lineRule="auto"/>
      </w:pPr>
      <w:r>
        <w:rPr>
          <w:rFonts w:ascii="Arial" w:hAnsi="Arial"/>
          <w:b/>
          <w:color w:val="0F172A"/>
          <w:sz w:val="21"/>
        </w:rPr>
        <w:t>##### B. 客观要件（针对合同内容与标的）</w:t>
      </w:r>
    </w:p>
    <w:p>
      <w:pPr>
        <w:spacing w:before="0" w:after="80" w:line="276" w:lineRule="auto"/>
      </w:pPr>
      <w:r>
        <w:rPr>
          <w:rFonts w:ascii="Arial" w:hAnsi="Arial"/>
          <w:color w:val="1E293B"/>
          <w:sz w:val="20"/>
        </w:rPr>
        <w:t>3. **确定具体的标的物（*Suatu Pokok Persoalan Tertentu / Certainty of Object*）**</w:t>
      </w:r>
    </w:p>
    <w:p>
      <w:pPr>
        <w:spacing w:before="0" w:after="80" w:line="276" w:lineRule="auto"/>
      </w:pPr>
      <w:r>
        <w:rPr>
          <w:rFonts w:ascii="Arial" w:hAnsi="Arial"/>
          <w:color w:val="1E293B"/>
          <w:sz w:val="20"/>
        </w:rPr>
        <w:t xml:space="preserve">   * 合同标的必须种类确定（第1332条及第1333条）。</w:t>
      </w:r>
    </w:p>
    <w:p>
      <w:pPr>
        <w:spacing w:before="0" w:after="80" w:line="276" w:lineRule="auto"/>
      </w:pPr>
      <w:r>
        <w:rPr>
          <w:rFonts w:ascii="Arial" w:hAnsi="Arial"/>
          <w:color w:val="1E293B"/>
          <w:sz w:val="20"/>
        </w:rPr>
        <w:t xml:space="preserve">   * 数量在订约时可以暂不确定，但必须具备在后续履行中能够依据合同明确计算或确定的机制与标准。</w:t>
      </w:r>
    </w:p>
    <w:p>
      <w:pPr>
        <w:spacing w:before="0" w:after="80" w:line="276" w:lineRule="auto"/>
      </w:pPr>
      <w:r>
        <w:rPr>
          <w:rFonts w:ascii="Arial" w:hAnsi="Arial"/>
          <w:color w:val="1E293B"/>
          <w:sz w:val="20"/>
        </w:rPr>
        <w:t xml:space="preserve">   * 标的必须是具有经济价值且依法流通的财物或合法的给付劳务。</w:t>
      </w:r>
    </w:p>
    <w:p>
      <w:pPr>
        <w:spacing w:before="0" w:after="80"/>
      </w:pPr>
    </w:p>
    <w:p>
      <w:pPr>
        <w:spacing w:before="0" w:after="80" w:line="276" w:lineRule="auto"/>
      </w:pPr>
      <w:r>
        <w:rPr>
          <w:rFonts w:ascii="Arial" w:hAnsi="Arial"/>
          <w:color w:val="1E293B"/>
          <w:sz w:val="20"/>
        </w:rPr>
        <w:t>4. **合法的原因/目的（*Sebab yang Halal / Lawful Cause*）**</w:t>
      </w:r>
    </w:p>
    <w:p>
      <w:pPr>
        <w:spacing w:before="0" w:after="80" w:line="276" w:lineRule="auto"/>
      </w:pPr>
      <w:r>
        <w:rPr>
          <w:rFonts w:ascii="Arial" w:hAnsi="Arial"/>
          <w:color w:val="1E293B"/>
          <w:sz w:val="20"/>
        </w:rPr>
        <w:t xml:space="preserve">   * 此处所称“原因”（Causa），是指合同设定的客观实质内容与经济目的，而非订约者的主观动机。</w:t>
      </w:r>
    </w:p>
    <w:p>
      <w:pPr>
        <w:spacing w:before="0" w:after="80" w:line="276" w:lineRule="auto"/>
      </w:pPr>
      <w:r>
        <w:rPr>
          <w:rFonts w:ascii="Arial" w:hAnsi="Arial"/>
          <w:color w:val="1E293B"/>
          <w:sz w:val="20"/>
        </w:rPr>
        <w:t xml:space="preserve">   * 根据第1335条与第1337条，凡具有下列情形之一的，均构成非法原因：</w:t>
      </w:r>
    </w:p>
    <w:p>
      <w:pPr>
        <w:spacing w:before="0" w:after="80" w:line="276" w:lineRule="auto"/>
      </w:pPr>
      <w:r>
        <w:rPr>
          <w:rFonts w:ascii="Arial" w:hAnsi="Arial"/>
          <w:color w:val="1E293B"/>
          <w:sz w:val="20"/>
        </w:rPr>
        <w:t xml:space="preserve">     * 违反法律强行性规定（*Dwingend Recht*）；</w:t>
      </w:r>
    </w:p>
    <w:p>
      <w:pPr>
        <w:spacing w:before="0" w:after="80" w:line="276" w:lineRule="auto"/>
      </w:pPr>
      <w:r>
        <w:rPr>
          <w:rFonts w:ascii="Arial" w:hAnsi="Arial"/>
          <w:color w:val="1E293B"/>
          <w:sz w:val="20"/>
        </w:rPr>
        <w:t xml:space="preserve">     * 违反公共秩序（*Openbare Orde*）；或</w:t>
      </w:r>
    </w:p>
    <w:p>
      <w:pPr>
        <w:spacing w:before="0" w:after="80" w:line="276" w:lineRule="auto"/>
      </w:pPr>
      <w:r>
        <w:rPr>
          <w:rFonts w:ascii="Arial" w:hAnsi="Arial"/>
          <w:color w:val="1E293B"/>
          <w:sz w:val="20"/>
        </w:rPr>
        <w:t xml:space="preserve">     * 违反公序良俗（善良风俗 / *Goede Zeden*）。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不符合法定生效要件的法律后果</w:t>
      </w:r>
    </w:p>
    <w:p>
      <w:pPr>
        <w:spacing w:before="0" w:after="80"/>
      </w:pPr>
    </w:p>
    <w:p>
      <w:pPr>
        <w:spacing w:before="0" w:after="80" w:line="276" w:lineRule="auto"/>
      </w:pPr>
      <w:r>
        <w:rPr>
          <w:rFonts w:ascii="Arial" w:hAnsi="Arial"/>
          <w:color w:val="1E293B"/>
          <w:sz w:val="20"/>
        </w:rPr>
        <w:t>| 要件分类 | 第1320条对应项 | 法律后果 | 合同法律状态 | 救济与撤销机制 |</w:t>
      </w:r>
    </w:p>
    <w:p>
      <w:pPr>
        <w:spacing w:before="0" w:after="80" w:line="276" w:lineRule="auto"/>
      </w:pPr>
      <w:r>
        <w:rPr>
          <w:rFonts w:ascii="Arial" w:hAnsi="Arial"/>
          <w:color w:val="1E293B"/>
          <w:sz w:val="20"/>
        </w:rPr>
        <w:t>| :--- | :--- | :--- | :--- | :--- |</w:t>
      </w:r>
    </w:p>
    <w:p>
      <w:pPr>
        <w:spacing w:before="0" w:after="80" w:line="276" w:lineRule="auto"/>
      </w:pPr>
      <w:r>
        <w:rPr>
          <w:rFonts w:ascii="Arial" w:hAnsi="Arial"/>
          <w:color w:val="1E293B"/>
          <w:sz w:val="20"/>
        </w:rPr>
        <w:t>| **主观要件** | 1. 真实合意&lt;br&gt;2. 缔约能力 | **得撤销**&lt;br&gt;（*Dapat Dibatalkan / Voidable*） | 合同在被法院正式判决撤销前仍具法律约束力；撤销权仅归属于受欺诈/强迫方或无能力人的法定代理人。 | 须向印尼地区法院（Pengadilan Negeri）提起撤销之诉；撤销权的行使受5年法定诉讼时效限制（第1454条）。 |</w:t>
      </w:r>
    </w:p>
    <w:p>
      <w:pPr>
        <w:spacing w:before="0" w:after="80" w:line="276" w:lineRule="auto"/>
      </w:pPr>
      <w:r>
        <w:rPr>
          <w:rFonts w:ascii="Arial" w:hAnsi="Arial"/>
          <w:color w:val="1E293B"/>
          <w:sz w:val="20"/>
        </w:rPr>
        <w:t>| **客观要件** | 3. 确定标的&lt;br&gt;4. 合法原因 | **自始绝对无效**&lt;br&gt;（*Batal Demi Hukum / Null and Void Ab Initio*） | 合同自始不存在，不产生任何期待履行的法律效力。法院可依职权宣告无效。 | 诉讼中无需适用5年时效限制；任何利害关系人均可主张无效；当事人须恢复原状（*Restitutio in Integrum*）。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企业与跨境投资实务合规指引</w:t>
      </w:r>
    </w:p>
    <w:p>
      <w:pPr>
        <w:spacing w:before="0" w:after="80" w:line="276" w:lineRule="auto"/>
      </w:pPr>
      <w:r>
        <w:rPr>
          <w:rFonts w:ascii="Arial" w:hAnsi="Arial"/>
          <w:color w:val="1E293B"/>
          <w:sz w:val="20"/>
        </w:rPr>
        <w:t>1. **签约主体资格与权限核查（*Capacity &amp; Authority Review*）：**</w:t>
      </w:r>
    </w:p>
    <w:p>
      <w:pPr>
        <w:spacing w:before="0" w:after="80" w:line="276" w:lineRule="auto"/>
      </w:pPr>
      <w:r>
        <w:rPr>
          <w:rFonts w:ascii="Arial" w:hAnsi="Arial"/>
          <w:color w:val="1E293B"/>
          <w:sz w:val="20"/>
        </w:rPr>
        <w:t xml:space="preserve">   * 依据印尼《公司法》（2007年第40号法令）及目标公司最新章程（Anggaran Dasar），严格核实签字代表的法定代表权限。</w:t>
      </w:r>
    </w:p>
    <w:p>
      <w:pPr>
        <w:spacing w:before="0" w:after="80" w:line="276" w:lineRule="auto"/>
      </w:pPr>
      <w:r>
        <w:rPr>
          <w:rFonts w:ascii="Arial" w:hAnsi="Arial"/>
          <w:color w:val="1E293B"/>
          <w:sz w:val="20"/>
        </w:rPr>
        <w:t xml:space="preserve">   * 核查是否已依法取得必要的内部授权前置审批（如董事会决议、监事会批准或股东大会特别决议），非法人代表签约必须具备经公证的《专项授权委托书》（Special Power of Attorney）。</w:t>
      </w:r>
    </w:p>
    <w:p>
      <w:pPr>
        <w:spacing w:before="0" w:after="80" w:line="276" w:lineRule="auto"/>
      </w:pPr>
      <w:r>
        <w:rPr>
          <w:rFonts w:ascii="Arial" w:hAnsi="Arial"/>
          <w:color w:val="1E293B"/>
          <w:sz w:val="20"/>
        </w:rPr>
        <w:t>2. **声明与保证条款设计（*Reps &amp; Warranties*）：**</w:t>
      </w:r>
    </w:p>
    <w:p>
      <w:pPr>
        <w:spacing w:before="0" w:after="80" w:line="276" w:lineRule="auto"/>
      </w:pPr>
      <w:r>
        <w:rPr>
          <w:rFonts w:ascii="Arial" w:hAnsi="Arial"/>
          <w:color w:val="1E293B"/>
          <w:sz w:val="20"/>
        </w:rPr>
        <w:t xml:space="preserve">   * 设定明确的陈述条款，确保各方均具备完全民事行为能力与缔约权限，不存在因欺诈、胁迫、重大误解或滥用优势地位而签约的情形。</w:t>
      </w:r>
    </w:p>
    <w:p>
      <w:pPr>
        <w:spacing w:before="0" w:after="80" w:line="276" w:lineRule="auto"/>
      </w:pPr>
      <w:r>
        <w:rPr>
          <w:rFonts w:ascii="Arial" w:hAnsi="Arial"/>
          <w:color w:val="1E293B"/>
          <w:sz w:val="20"/>
        </w:rPr>
        <w:t>3. **标的物与履行义务的精准量化（*Specific Deliverables*）：**</w:t>
      </w:r>
    </w:p>
    <w:p>
      <w:pPr>
        <w:spacing w:before="0" w:after="80" w:line="276" w:lineRule="auto"/>
      </w:pPr>
      <w:r>
        <w:rPr>
          <w:rFonts w:ascii="Arial" w:hAnsi="Arial"/>
          <w:color w:val="1E293B"/>
          <w:sz w:val="20"/>
        </w:rPr>
        <w:t xml:space="preserve">   * 合同中的产品规格、技术参数、对价支付机制及交付节点必须明确详尽，杜绝因描述含糊被法院认定为“标的不确定”而招致无效风险。</w:t>
      </w:r>
    </w:p>
    <w:p>
      <w:pPr>
        <w:spacing w:before="0" w:after="80" w:line="276" w:lineRule="auto"/>
      </w:pPr>
      <w:r>
        <w:rPr>
          <w:rFonts w:ascii="Arial" w:hAnsi="Arial"/>
          <w:color w:val="1E293B"/>
          <w:sz w:val="20"/>
        </w:rPr>
        <w:t>4. **强制性法律合规排查（*Mandatory Law Compliance*）：**</w:t>
      </w:r>
    </w:p>
    <w:p>
      <w:pPr>
        <w:spacing w:before="0" w:after="80" w:line="276" w:lineRule="auto"/>
      </w:pPr>
      <w:r>
        <w:rPr>
          <w:rFonts w:ascii="Arial" w:hAnsi="Arial"/>
          <w:color w:val="1E293B"/>
          <w:sz w:val="20"/>
        </w:rPr>
        <w:t xml:space="preserve">   * 审查合同核心标的与交易模式是否违反印尼反垄断法（1999年第5号法令）、特定行业准入许可制度、外汇管制以及公共秩序，规避因违反“合法原因（Sebab yang Halal）”导致合同自始不发生法律效力的系统性法律风险。</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