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Otentik dan Terjemahan Statuter: Pasal 1320 Kitab Undang-Undang Hukum Perdata (KUHPerdata / Burgerlijk Wetboek)</w:t>
      </w:r>
    </w:p>
    <w:p>
      <w:pPr>
        <w:spacing w:before="0" w:after="80" w:line="276" w:lineRule="auto"/>
      </w:pPr>
      <w:r>
        <w:rPr>
          <w:rFonts w:ascii="Arial" w:hAnsi="Arial"/>
          <w:color w:val="1E293B"/>
          <w:sz w:val="20"/>
        </w:rPr>
        <w:t>Pasal 1320 KUHPerdata mengatur empat syarat esensial bagi keabsahan suatu perjanjian/kontrak:</w:t>
      </w:r>
    </w:p>
    <w:p>
      <w:pPr>
        <w:spacing w:before="0" w:after="80"/>
      </w:pP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Doktriner dan Tipologi Syarat Keabsahan</w:t>
      </w:r>
    </w:p>
    <w:p>
      <w:pPr>
        <w:spacing w:before="0" w:after="80"/>
      </w:pPr>
    </w:p>
    <w:p>
      <w:pPr>
        <w:spacing w:before="0" w:after="80" w:line="276" w:lineRule="auto"/>
      </w:pPr>
      <w:r>
        <w:rPr>
          <w:rFonts w:ascii="Arial" w:hAnsi="Arial"/>
          <w:color w:val="1E293B"/>
          <w:sz w:val="20"/>
        </w:rPr>
        <w:t>Hukum perdata Indonesia membagi keempat syarat tersebut ke dalam dua kategori yuridis:</w:t>
      </w:r>
    </w:p>
    <w:p>
      <w:pPr>
        <w:spacing w:before="0" w:after="80"/>
      </w:pPr>
    </w:p>
    <w:p>
      <w:pPr>
        <w:spacing w:before="160" w:after="80" w:line="276" w:lineRule="auto"/>
      </w:pPr>
      <w:r>
        <w:rPr>
          <w:rFonts w:ascii="Arial" w:hAnsi="Arial"/>
          <w:b/>
          <w:color w:val="0F172A"/>
          <w:sz w:val="21"/>
        </w:rPr>
        <w:t>##### A. Syarat Subjektif (Menyangkut Subjek Hukum yang Membuat Perjanjian)</w:t>
      </w:r>
    </w:p>
    <w:p>
      <w:pPr>
        <w:spacing w:before="0" w:after="80" w:line="276" w:lineRule="auto"/>
      </w:pPr>
      <w:r>
        <w:rPr>
          <w:rFonts w:ascii="Arial" w:hAnsi="Arial"/>
          <w:color w:val="1E293B"/>
          <w:sz w:val="20"/>
        </w:rPr>
        <w:t>1. **Kesepakatan Para Pihak (*Consensus / Toestemming*)**</w:t>
      </w:r>
    </w:p>
    <w:p>
      <w:pPr>
        <w:spacing w:before="0" w:after="80" w:line="276" w:lineRule="auto"/>
      </w:pPr>
      <w:r>
        <w:rPr>
          <w:rFonts w:ascii="Arial" w:hAnsi="Arial"/>
          <w:color w:val="1E293B"/>
          <w:sz w:val="20"/>
        </w:rPr>
        <w:t xml:space="preserve">   * Asas Konsensualisme: Perjanjian lahir seketika saat tercapainya persesuaian kehendak antara para pihak.</w:t>
      </w:r>
    </w:p>
    <w:p>
      <w:pPr>
        <w:spacing w:before="0" w:after="80" w:line="276" w:lineRule="auto"/>
      </w:pPr>
      <w:r>
        <w:rPr>
          <w:rFonts w:ascii="Arial" w:hAnsi="Arial"/>
          <w:color w:val="1E293B"/>
          <w:sz w:val="20"/>
        </w:rPr>
        <w:t xml:space="preserve">   * **Cacat Kehendak (*Wilsgebreken*)**: Kesepakatan tidak boleh timbul akibat:</w:t>
      </w:r>
    </w:p>
    <w:p>
      <w:pPr>
        <w:spacing w:before="0" w:after="80" w:line="276" w:lineRule="auto"/>
      </w:pPr>
      <w:r>
        <w:rPr>
          <w:rFonts w:ascii="Arial" w:hAnsi="Arial"/>
          <w:color w:val="1E293B"/>
          <w:sz w:val="20"/>
        </w:rPr>
        <w:t xml:space="preserve">     * **Kekhilafan/Kesesatan (*Dwaling*)** – Pasal 1322 KUHPerdata;</w:t>
      </w:r>
    </w:p>
    <w:p>
      <w:pPr>
        <w:spacing w:before="0" w:after="80" w:line="276" w:lineRule="auto"/>
      </w:pPr>
      <w:r>
        <w:rPr>
          <w:rFonts w:ascii="Arial" w:hAnsi="Arial"/>
          <w:color w:val="1E293B"/>
          <w:sz w:val="20"/>
        </w:rPr>
        <w:t xml:space="preserve">     * **Paksaan (*Dwang*)** – Pasal 1323-1327 KUHPerdata;</w:t>
      </w:r>
    </w:p>
    <w:p>
      <w:pPr>
        <w:spacing w:before="0" w:after="80" w:line="276" w:lineRule="auto"/>
      </w:pPr>
      <w:r>
        <w:rPr>
          <w:rFonts w:ascii="Arial" w:hAnsi="Arial"/>
          <w:color w:val="1E293B"/>
          <w:sz w:val="20"/>
        </w:rPr>
        <w:t xml:space="preserve">     * **Penipuan (*Bedrog*)** – Pasal 1328 KUHPerdata;</w:t>
      </w:r>
    </w:p>
    <w:p>
      <w:pPr>
        <w:spacing w:before="0" w:after="80" w:line="276" w:lineRule="auto"/>
      </w:pPr>
      <w:r>
        <w:rPr>
          <w:rFonts w:ascii="Arial" w:hAnsi="Arial"/>
          <w:color w:val="1E293B"/>
          <w:sz w:val="20"/>
        </w:rPr>
        <w:t xml:space="preserve">     * **Penyalahgunaan Keadaan (*Misbruik van omstandigheden*)** – Doktrin hukum yurisprudensi modern.</w:t>
      </w:r>
    </w:p>
    <w:p>
      <w:pPr>
        <w:spacing w:before="0" w:after="80" w:line="276" w:lineRule="auto"/>
      </w:pPr>
      <w:r>
        <w:rPr>
          <w:rFonts w:ascii="Arial" w:hAnsi="Arial"/>
          <w:color w:val="1E293B"/>
          <w:sz w:val="20"/>
        </w:rPr>
        <w:t>2. **Kecakapan Para Pihak (*Bekwaamheid*)**</w:t>
      </w:r>
    </w:p>
    <w:p>
      <w:pPr>
        <w:spacing w:before="0" w:after="80" w:line="276" w:lineRule="auto"/>
      </w:pPr>
      <w:r>
        <w:rPr>
          <w:rFonts w:ascii="Arial" w:hAnsi="Arial"/>
          <w:color w:val="1E293B"/>
          <w:sz w:val="20"/>
        </w:rPr>
        <w:t xml:space="preserve">   * Berdasarkan Pasal 1329 KUHPerdata, setiap orang dianggap cakap bertindak kecuali dinyatakan tidak cakap oleh undang-undang.</w:t>
      </w:r>
    </w:p>
    <w:p>
      <w:pPr>
        <w:spacing w:before="0" w:after="80" w:line="276" w:lineRule="auto"/>
      </w:pPr>
      <w:r>
        <w:rPr>
          <w:rFonts w:ascii="Arial" w:hAnsi="Arial"/>
          <w:color w:val="1E293B"/>
          <w:sz w:val="20"/>
        </w:rPr>
        <w:t xml:space="preserve">   * Pihak yang tidak cakap (*Onbekwaam*) menurut Pasal 1330 KUHPerdata:</w:t>
      </w:r>
    </w:p>
    <w:p>
      <w:pPr>
        <w:spacing w:before="0" w:after="80" w:line="276" w:lineRule="auto"/>
      </w:pPr>
      <w:r>
        <w:rPr>
          <w:rFonts w:ascii="Arial" w:hAnsi="Arial"/>
          <w:color w:val="1E293B"/>
          <w:sz w:val="20"/>
        </w:rPr>
        <w:t xml:space="preserve">     * Anak yang belum dewasa (di bawah 21 tahun dan belum pernah menikah, memperhatikan harmonisasi UU No. 1/1974 jo. UU No. 16/2019 tentang Perkawinan);</w:t>
      </w:r>
    </w:p>
    <w:p>
      <w:pPr>
        <w:spacing w:before="0" w:after="80" w:line="276" w:lineRule="auto"/>
      </w:pPr>
      <w:r>
        <w:rPr>
          <w:rFonts w:ascii="Arial" w:hAnsi="Arial"/>
          <w:color w:val="1E293B"/>
          <w:sz w:val="20"/>
        </w:rPr>
        <w:t xml:space="preserve">     * Orang yang ditempatkan di bawah pengampuan (*curatele*);</w:t>
      </w:r>
    </w:p>
    <w:p>
      <w:pPr>
        <w:spacing w:before="0" w:after="80" w:line="276" w:lineRule="auto"/>
      </w:pPr>
      <w:r>
        <w:rPr>
          <w:rFonts w:ascii="Arial" w:hAnsi="Arial"/>
          <w:color w:val="1E293B"/>
          <w:sz w:val="20"/>
        </w:rPr>
        <w:t xml:space="preserve">     * *Catatan historical:* Wanita bersuami (telah dibatalkan keberlakuannya oleh Surat Edaran Mahkamah Agung No. 3/1963 dan Pasal 31 UU Perkawinan).</w:t>
      </w:r>
    </w:p>
    <w:p>
      <w:pPr>
        <w:spacing w:before="0" w:after="80"/>
      </w:pPr>
    </w:p>
    <w:p>
      <w:pPr>
        <w:spacing w:before="160" w:after="80" w:line="276" w:lineRule="auto"/>
      </w:pPr>
      <w:r>
        <w:rPr>
          <w:rFonts w:ascii="Arial" w:hAnsi="Arial"/>
          <w:b/>
          <w:color w:val="0F172A"/>
          <w:sz w:val="21"/>
        </w:rPr>
        <w:t>##### B. Syarat Objektif (Menyangkut Objek dan Isi Perjanjian)</w:t>
      </w:r>
    </w:p>
    <w:p>
      <w:pPr>
        <w:spacing w:before="0" w:after="80" w:line="276" w:lineRule="auto"/>
      </w:pPr>
      <w:r>
        <w:rPr>
          <w:rFonts w:ascii="Arial" w:hAnsi="Arial"/>
          <w:color w:val="1E293B"/>
          <w:sz w:val="20"/>
        </w:rPr>
        <w:t>3. **Suatu Pokok Persoalan Tertentu (*Bepaalde Onderwerp*)**</w:t>
      </w:r>
    </w:p>
    <w:p>
      <w:pPr>
        <w:spacing w:before="0" w:after="80" w:line="276" w:lineRule="auto"/>
      </w:pPr>
      <w:r>
        <w:rPr>
          <w:rFonts w:ascii="Arial" w:hAnsi="Arial"/>
          <w:color w:val="1E293B"/>
          <w:sz w:val="20"/>
        </w:rPr>
        <w:t xml:space="preserve">   * Berdasarkan Pasal 1332 dan 1333 KUHPerdata, objek perjanjian harus dapat ditentukan jenisnya (*bepaalbaar*) dan merupakan barang-barang yang dapat diperdagangkan dalam lalu lintas hukum. Jumlahnya boleh belum pasti, asalkan kemudian dapat dihitung atau ditetapkan.</w:t>
      </w:r>
    </w:p>
    <w:p>
      <w:pPr>
        <w:spacing w:before="0" w:after="80" w:line="276" w:lineRule="auto"/>
      </w:pPr>
      <w:r>
        <w:rPr>
          <w:rFonts w:ascii="Arial" w:hAnsi="Arial"/>
          <w:color w:val="1E293B"/>
          <w:sz w:val="20"/>
        </w:rPr>
        <w:t>4. **Suatu Sebab yang Halal / Tidak Terlarang (*Geoorloofde Oorzaak / Causa*)**</w:t>
      </w:r>
    </w:p>
    <w:p>
      <w:pPr>
        <w:spacing w:before="0" w:after="80" w:line="276" w:lineRule="auto"/>
      </w:pPr>
      <w:r>
        <w:rPr>
          <w:rFonts w:ascii="Arial" w:hAnsi="Arial"/>
          <w:color w:val="1E293B"/>
          <w:sz w:val="20"/>
        </w:rPr>
        <w:t xml:space="preserve">   * *Causa* merujuk pada tujuan objektif atau isi dari perjanjian, bukan motif subjektif (*beweegreden*).</w:t>
      </w:r>
    </w:p>
    <w:p>
      <w:pPr>
        <w:spacing w:before="0" w:after="80" w:line="276" w:lineRule="auto"/>
      </w:pPr>
      <w:r>
        <w:rPr>
          <w:rFonts w:ascii="Arial" w:hAnsi="Arial"/>
          <w:color w:val="1E293B"/>
          <w:sz w:val="20"/>
        </w:rPr>
        <w:t xml:space="preserve">   * Berdasarkan Pasal 1335 dan 1337 KUHPerdata, suatu sebab adalah terlarang apabila bertentangan dengan:</w:t>
      </w:r>
    </w:p>
    <w:p>
      <w:pPr>
        <w:spacing w:before="0" w:after="80" w:line="276" w:lineRule="auto"/>
      </w:pPr>
      <w:r>
        <w:rPr>
          <w:rFonts w:ascii="Arial" w:hAnsi="Arial"/>
          <w:color w:val="1E293B"/>
          <w:sz w:val="20"/>
        </w:rPr>
        <w:t xml:space="preserve">     * Peraturan perundang-undangan yang bersifat memaksa (*dwingend recht*);</w:t>
      </w:r>
    </w:p>
    <w:p>
      <w:pPr>
        <w:spacing w:before="0" w:after="80" w:line="276" w:lineRule="auto"/>
      </w:pPr>
      <w:r>
        <w:rPr>
          <w:rFonts w:ascii="Arial" w:hAnsi="Arial"/>
          <w:color w:val="1E293B"/>
          <w:sz w:val="20"/>
        </w:rPr>
        <w:t xml:space="preserve">     * Ketertiban umum (*openbare orde*); atau</w:t>
      </w:r>
    </w:p>
    <w:p>
      <w:pPr>
        <w:spacing w:before="0" w:after="80" w:line="276" w:lineRule="auto"/>
      </w:pPr>
      <w:r>
        <w:rPr>
          <w:rFonts w:ascii="Arial" w:hAnsi="Arial"/>
          <w:color w:val="1E293B"/>
          <w:sz w:val="20"/>
        </w:rPr>
        <w:t xml:space="preserve">     * Kesusilaan yang baik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Akibat Hukum Ketidakpatuhan (*Legal Consequences of Non-Compliance*)</w:t>
      </w:r>
    </w:p>
    <w:p>
      <w:pPr>
        <w:spacing w:before="0" w:after="80"/>
      </w:pPr>
    </w:p>
    <w:p>
      <w:pPr>
        <w:spacing w:before="0" w:after="80" w:line="276" w:lineRule="auto"/>
      </w:pPr>
      <w:r>
        <w:rPr>
          <w:rFonts w:ascii="Arial" w:hAnsi="Arial"/>
          <w:color w:val="1E293B"/>
          <w:sz w:val="20"/>
        </w:rPr>
        <w:t>* **Pelanggaran Syarat Subjektif (Poin 1 &amp; 2):**</w:t>
      </w:r>
    </w:p>
    <w:p>
      <w:pPr>
        <w:spacing w:before="0" w:after="80" w:line="276" w:lineRule="auto"/>
      </w:pPr>
      <w:r>
        <w:rPr>
          <w:rFonts w:ascii="Arial" w:hAnsi="Arial"/>
          <w:color w:val="1E293B"/>
          <w:sz w:val="20"/>
        </w:rPr>
        <w:t xml:space="preserve">  * Kontrak berstatus **Dapat Dibatalkan (*Vernietigbaar / Voidable*)**.</w:t>
      </w:r>
    </w:p>
    <w:p>
      <w:pPr>
        <w:spacing w:before="0" w:after="80" w:line="276" w:lineRule="auto"/>
      </w:pPr>
      <w:r>
        <w:rPr>
          <w:rFonts w:ascii="Arial" w:hAnsi="Arial"/>
          <w:color w:val="1E293B"/>
          <w:sz w:val="20"/>
        </w:rPr>
        <w:t xml:space="preserve">  * Kontrak tetap mengikat dan sah secara hukum selama belum dibatalkan oleh hakim perdata atas gugatan/permohonan pembatalan dari pihak yang tidak cakap atau pihak yang kesepakatannya cacat (tenggang waktu daluwarsa gugatan 5 tahun menurut Pasal 1454 KUHPerdata).</w:t>
      </w:r>
    </w:p>
    <w:p>
      <w:pPr>
        <w:spacing w:before="0" w:after="80" w:line="276" w:lineRule="auto"/>
      </w:pPr>
      <w:r>
        <w:rPr>
          <w:rFonts w:ascii="Arial" w:hAnsi="Arial"/>
          <w:color w:val="1E293B"/>
          <w:sz w:val="20"/>
        </w:rPr>
        <w:t>* **Pelanggaran Syarat Objektif (Poin 3 &amp; 4):**</w:t>
      </w:r>
    </w:p>
    <w:p>
      <w:pPr>
        <w:spacing w:before="0" w:after="80" w:line="276" w:lineRule="auto"/>
      </w:pPr>
      <w:r>
        <w:rPr>
          <w:rFonts w:ascii="Arial" w:hAnsi="Arial"/>
          <w:color w:val="1E293B"/>
          <w:sz w:val="20"/>
        </w:rPr>
        <w:t xml:space="preserve">  * Kontrak berstatus **Batal Demi Hukum (*Nietig van rechtswege / Null and Void ab initio*)**.</w:t>
      </w:r>
    </w:p>
    <w:p>
      <w:pPr>
        <w:spacing w:before="0" w:after="80" w:line="276" w:lineRule="auto"/>
      </w:pPr>
      <w:r>
        <w:rPr>
          <w:rFonts w:ascii="Arial" w:hAnsi="Arial"/>
          <w:color w:val="1E293B"/>
          <w:sz w:val="20"/>
        </w:rPr>
        <w:t xml:space="preserve">  * Sejak awal, perjanjian dianggap tidak pernah ada (*never existed*). Tidak ada hak dan kewajiban yang lahir, sehingga para pihak tidak dapat saling menuntut pemenuhan prestasi di pengadilan.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Keterkaitan Lintas Sektoral &amp; Panduan Kepatuhan Praktis</w:t>
      </w:r>
    </w:p>
    <w:p>
      <w:pPr>
        <w:spacing w:before="0" w:after="80"/>
      </w:pPr>
    </w:p>
    <w:p>
      <w:pPr>
        <w:spacing w:before="0" w:after="80" w:line="276" w:lineRule="auto"/>
      </w:pPr>
      <w:r>
        <w:rPr>
          <w:rFonts w:ascii="Arial" w:hAnsi="Arial"/>
          <w:color w:val="1E293B"/>
          <w:sz w:val="20"/>
        </w:rPr>
        <w:t>1. **Kewenangan Korporasi (UU PT No. 40/2007 jo. UU No. 6/2023):**</w:t>
      </w:r>
    </w:p>
    <w:p>
      <w:pPr>
        <w:spacing w:before="0" w:after="80" w:line="276" w:lineRule="auto"/>
      </w:pPr>
      <w:r>
        <w:rPr>
          <w:rFonts w:ascii="Arial" w:hAnsi="Arial"/>
          <w:color w:val="1E293B"/>
          <w:sz w:val="20"/>
        </w:rPr>
        <w:t xml:space="preserve">   * Dalam kontrak bisnis, kecakapan subjek hukum berbadan hukum (*rechtspersoon*) ditentukan oleh kewenangan Direksi sesuai Anggaran Dasar dan persetujuan Dewan Komisaris/RUPS apabila disyaratkan (menghindari tindakan *Ultra Vires*).</w:t>
      </w:r>
    </w:p>
    <w:p>
      <w:pPr>
        <w:spacing w:before="0" w:after="80" w:line="276" w:lineRule="auto"/>
      </w:pPr>
      <w:r>
        <w:rPr>
          <w:rFonts w:ascii="Arial" w:hAnsi="Arial"/>
          <w:color w:val="1E293B"/>
          <w:sz w:val="20"/>
        </w:rPr>
        <w:t>2. **Kontrak Elektronik (UU ITE No. 11/2008 jo. UU No. 1/2024 &amp; PP No. 71/2019):**</w:t>
      </w:r>
    </w:p>
    <w:p>
      <w:pPr>
        <w:spacing w:before="0" w:after="80" w:line="276" w:lineRule="auto"/>
      </w:pPr>
      <w:r>
        <w:rPr>
          <w:rFonts w:ascii="Arial" w:hAnsi="Arial"/>
          <w:color w:val="1E293B"/>
          <w:sz w:val="20"/>
        </w:rPr>
        <w:t xml:space="preserve">   * Kesepakatan dalam transaksi elektronik dianggap sah apabila menggunakan tanda tangan elektronik yang tersertifikasi atau mekanisme persetujuan eksplisit (*click-wrap agreements*).</w:t>
      </w:r>
    </w:p>
    <w:p>
      <w:pPr>
        <w:spacing w:before="0" w:after="80" w:line="276" w:lineRule="auto"/>
      </w:pPr>
      <w:r>
        <w:rPr>
          <w:rFonts w:ascii="Arial" w:hAnsi="Arial"/>
          <w:color w:val="1E293B"/>
          <w:sz w:val="20"/>
        </w:rPr>
        <w:t>3. **Klausul Bahasa (UU No. 24/2009 jo. Perpres No. 63/2019):**</w:t>
      </w:r>
    </w:p>
    <w:p>
      <w:pPr>
        <w:spacing w:before="0" w:after="80" w:line="276" w:lineRule="auto"/>
      </w:pPr>
      <w:r>
        <w:rPr>
          <w:rFonts w:ascii="Arial" w:hAnsi="Arial"/>
          <w:color w:val="1E293B"/>
          <w:sz w:val="20"/>
        </w:rPr>
        <w:t xml:space="preserve">   * Kontrak komersial yang melibatkan pihak Indonesia wajib dibuat dalam Bahasa Indonesia; jika dibuat multibahasa, versi bahasa Indonesia wajib disertakan agar tidak dianggap melanggar kaidah ketertiban umum/sebab yang halal.</w:t>
      </w:r>
    </w:p>
    <w:p>
      <w:pPr>
        <w:spacing w:before="0" w:after="80"/>
      </w:pPr>
    </w:p>
    <w:p>
      <w:pPr>
        <w:spacing w:before="0" w:after="80" w:line="276" w:lineRule="auto"/>
      </w:pPr>
      <w:r>
        <w:rPr>
          <w:rFonts w:ascii="Arial" w:hAnsi="Arial"/>
          <w:color w:val="1E293B"/>
          <w:sz w:val="20"/>
        </w:rPr>
        <w:t>---</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规范原文与法定翻译：印尼《民法典》（KUHPerdata / Burgerlijk Wetboek）第1320条</w:t>
      </w:r>
    </w:p>
    <w:p>
      <w:pPr>
        <w:spacing w:before="0" w:after="80" w:line="276" w:lineRule="auto"/>
      </w:pPr>
      <w:r>
        <w:rPr>
          <w:rFonts w:ascii="Arial" w:hAnsi="Arial"/>
          <w:color w:val="1E293B"/>
          <w:sz w:val="20"/>
        </w:rPr>
        <w:t>印尼《民法典》第1320条确立了合同有效成立必须具备的四项核心法定要件：</w:t>
      </w:r>
    </w:p>
    <w:p>
      <w:pPr>
        <w:spacing w:before="0" w:after="80"/>
      </w:pPr>
    </w:p>
    <w:p>
      <w:pPr>
        <w:spacing w:before="0" w:after="80" w:line="276" w:lineRule="auto"/>
      </w:pPr>
      <w:r>
        <w:rPr>
          <w:rFonts w:ascii="Arial" w:hAnsi="Arial"/>
          <w:color w:val="1E293B"/>
          <w:sz w:val="20"/>
        </w:rPr>
        <w:t>&gt; *“合同成立并产生法律效力，必须满足以下四项要件：*</w:t>
      </w:r>
    </w:p>
    <w:p>
      <w:pPr>
        <w:spacing w:before="0" w:after="80" w:line="276" w:lineRule="auto"/>
      </w:pPr>
      <w:r>
        <w:rPr>
          <w:rFonts w:ascii="Arial" w:hAnsi="Arial"/>
          <w:color w:val="1E293B"/>
          <w:sz w:val="20"/>
        </w:rPr>
        <w:t>&gt; 1. *发生法律约束力之当事人各方的意思表示一致（合意）；*</w:t>
      </w:r>
    </w:p>
    <w:p>
      <w:pPr>
        <w:spacing w:before="0" w:after="80" w:line="276" w:lineRule="auto"/>
      </w:pPr>
      <w:r>
        <w:rPr>
          <w:rFonts w:ascii="Arial" w:hAnsi="Arial"/>
          <w:color w:val="1E293B"/>
          <w:sz w:val="20"/>
        </w:rPr>
        <w:t>&gt; 2. *订立合同的民事行为能力；*</w:t>
      </w:r>
    </w:p>
    <w:p>
      <w:pPr>
        <w:spacing w:before="0" w:after="80" w:line="276" w:lineRule="auto"/>
      </w:pPr>
      <w:r>
        <w:rPr>
          <w:rFonts w:ascii="Arial" w:hAnsi="Arial"/>
          <w:color w:val="1E293B"/>
          <w:sz w:val="20"/>
        </w:rPr>
        <w:t>&gt; 3. *确定之标的；*</w:t>
      </w:r>
    </w:p>
    <w:p>
      <w:pPr>
        <w:spacing w:before="0" w:after="80" w:line="276" w:lineRule="auto"/>
      </w:pPr>
      <w:r>
        <w:rPr>
          <w:rFonts w:ascii="Arial" w:hAnsi="Arial"/>
          <w:color w:val="1E293B"/>
          <w:sz w:val="20"/>
        </w:rPr>
        <w:t>&gt; 4. *合法之原因（合同目的与内容不得违反法律禁止性规定）。”*</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法理拆解与要件分类</w:t>
      </w:r>
    </w:p>
    <w:p>
      <w:pPr>
        <w:spacing w:before="0" w:after="80"/>
      </w:pPr>
    </w:p>
    <w:p>
      <w:pPr>
        <w:spacing w:before="0" w:after="80" w:line="276" w:lineRule="auto"/>
      </w:pPr>
      <w:r>
        <w:rPr>
          <w:rFonts w:ascii="Arial" w:hAnsi="Arial"/>
          <w:color w:val="1E293B"/>
          <w:sz w:val="20"/>
        </w:rPr>
        <w:t>印尼民法学理将上述四项法定生效要件划分为两大法律范畴：</w:t>
      </w:r>
    </w:p>
    <w:p>
      <w:pPr>
        <w:spacing w:before="0" w:after="80"/>
      </w:pPr>
    </w:p>
    <w:p>
      <w:pPr>
        <w:spacing w:before="160" w:after="80" w:line="276" w:lineRule="auto"/>
      </w:pPr>
      <w:r>
        <w:rPr>
          <w:rFonts w:ascii="Arial" w:hAnsi="Arial"/>
          <w:b/>
          <w:color w:val="0F172A"/>
          <w:sz w:val="21"/>
        </w:rPr>
        <w:t>##### 一、 主观要件（关于订约民事主体的资格与意思状态）</w:t>
      </w:r>
    </w:p>
    <w:p>
      <w:pPr>
        <w:spacing w:before="0" w:after="80" w:line="276" w:lineRule="auto"/>
      </w:pPr>
      <w:r>
        <w:rPr>
          <w:rFonts w:ascii="Arial" w:hAnsi="Arial"/>
          <w:color w:val="1E293B"/>
          <w:sz w:val="20"/>
        </w:rPr>
        <w:t>1. **当事人合意（*Consensus / Kesepakatan*）**</w:t>
      </w:r>
    </w:p>
    <w:p>
      <w:pPr>
        <w:spacing w:before="0" w:after="80" w:line="276" w:lineRule="auto"/>
      </w:pPr>
      <w:r>
        <w:rPr>
          <w:rFonts w:ascii="Arial" w:hAnsi="Arial"/>
          <w:color w:val="1E293B"/>
          <w:sz w:val="20"/>
        </w:rPr>
        <w:t xml:space="preserve">   * **诺成原则（Consensualism）**：合同自当事人双方意思表示达成一致时即告成立。</w:t>
      </w:r>
    </w:p>
    <w:p>
      <w:pPr>
        <w:spacing w:before="0" w:after="80" w:line="276" w:lineRule="auto"/>
      </w:pPr>
      <w:r>
        <w:rPr>
          <w:rFonts w:ascii="Arial" w:hAnsi="Arial"/>
          <w:color w:val="1E293B"/>
          <w:sz w:val="20"/>
        </w:rPr>
        <w:t xml:space="preserve">   * **意思表示瑕疵（*Wilsgebreken*）**：合同合意不得基于以下瑕疵产生：</w:t>
      </w:r>
    </w:p>
    <w:p>
      <w:pPr>
        <w:spacing w:before="0" w:after="80" w:line="276" w:lineRule="auto"/>
      </w:pPr>
      <w:r>
        <w:rPr>
          <w:rFonts w:ascii="Arial" w:hAnsi="Arial"/>
          <w:color w:val="1E293B"/>
          <w:sz w:val="20"/>
        </w:rPr>
        <w:t xml:space="preserve">     * **错误（*Dwaling*）** —— 印尼《民法典》第1322条；</w:t>
      </w:r>
    </w:p>
    <w:p>
      <w:pPr>
        <w:spacing w:before="0" w:after="80" w:line="276" w:lineRule="auto"/>
      </w:pPr>
      <w:r>
        <w:rPr>
          <w:rFonts w:ascii="Arial" w:hAnsi="Arial"/>
          <w:color w:val="1E293B"/>
          <w:sz w:val="20"/>
        </w:rPr>
        <w:t xml:space="preserve">     * **胁迫（*Dwang*）** —— 印尼《民法典》第1323条至第1327条；</w:t>
      </w:r>
    </w:p>
    <w:p>
      <w:pPr>
        <w:spacing w:before="0" w:after="80" w:line="276" w:lineRule="auto"/>
      </w:pPr>
      <w:r>
        <w:rPr>
          <w:rFonts w:ascii="Arial" w:hAnsi="Arial"/>
          <w:color w:val="1E293B"/>
          <w:sz w:val="20"/>
        </w:rPr>
        <w:t xml:space="preserve">     * **欺诈（*Bedrog*）** —— 印尼《民法典》第1328条；</w:t>
      </w:r>
    </w:p>
    <w:p>
      <w:pPr>
        <w:spacing w:before="0" w:after="80" w:line="276" w:lineRule="auto"/>
      </w:pPr>
      <w:r>
        <w:rPr>
          <w:rFonts w:ascii="Arial" w:hAnsi="Arial"/>
          <w:color w:val="1E293B"/>
          <w:sz w:val="20"/>
        </w:rPr>
        <w:t xml:space="preserve">     * **乘人之危 / 滥用优势地位（*Misbruik van omstandigheden*）** —— 现代司法判例法确立的补充事由。</w:t>
      </w:r>
    </w:p>
    <w:p>
      <w:pPr>
        <w:spacing w:before="0" w:after="80" w:line="276" w:lineRule="auto"/>
      </w:pPr>
      <w:r>
        <w:rPr>
          <w:rFonts w:ascii="Arial" w:hAnsi="Arial"/>
          <w:color w:val="1E293B"/>
          <w:sz w:val="20"/>
        </w:rPr>
        <w:t>2. **订约民事行为能力（*Kecakapan / Bekwaamheid*）**</w:t>
      </w:r>
    </w:p>
    <w:p>
      <w:pPr>
        <w:spacing w:before="0" w:after="80" w:line="276" w:lineRule="auto"/>
      </w:pPr>
      <w:r>
        <w:rPr>
          <w:rFonts w:ascii="Arial" w:hAnsi="Arial"/>
          <w:color w:val="1E293B"/>
          <w:sz w:val="20"/>
        </w:rPr>
        <w:t xml:space="preserve">   * 根据《民法典》第1329条，除法律明文规定无行为能力者外，人人均推定具有缔约能力。</w:t>
      </w:r>
    </w:p>
    <w:p>
      <w:pPr>
        <w:spacing w:before="0" w:after="80" w:line="276" w:lineRule="auto"/>
      </w:pPr>
      <w:r>
        <w:rPr>
          <w:rFonts w:ascii="Arial" w:hAnsi="Arial"/>
          <w:color w:val="1E293B"/>
          <w:sz w:val="20"/>
        </w:rPr>
        <w:t xml:space="preserve">   * 根据《民法典》第1330条，属于法定**无行为能力人（*Onbekwaam*）**的情形：</w:t>
      </w:r>
    </w:p>
    <w:p>
      <w:pPr>
        <w:spacing w:before="0" w:after="80" w:line="276" w:lineRule="auto"/>
      </w:pPr>
      <w:r>
        <w:rPr>
          <w:rFonts w:ascii="Arial" w:hAnsi="Arial"/>
          <w:color w:val="1E293B"/>
          <w:sz w:val="20"/>
        </w:rPr>
        <w:t xml:space="preserve">     * 未成年人（未满21周岁且未曾结婚者；同时参考印尼第1/1974号结合第16/2019号《婚姻法》的年龄修正规定）；</w:t>
      </w:r>
    </w:p>
    <w:p>
      <w:pPr>
        <w:spacing w:before="0" w:after="80" w:line="276" w:lineRule="auto"/>
      </w:pPr>
      <w:r>
        <w:rPr>
          <w:rFonts w:ascii="Arial" w:hAnsi="Arial"/>
          <w:color w:val="1E293B"/>
          <w:sz w:val="20"/>
        </w:rPr>
        <w:t xml:space="preserve">     * 依法受监护/成年受监护人（*Onder curatele gesteld*）；</w:t>
      </w:r>
    </w:p>
    <w:p>
      <w:pPr>
        <w:spacing w:before="0" w:after="80" w:line="276" w:lineRule="auto"/>
      </w:pPr>
      <w:r>
        <w:rPr>
          <w:rFonts w:ascii="Arial" w:hAnsi="Arial"/>
          <w:color w:val="1E293B"/>
          <w:sz w:val="20"/>
        </w:rPr>
        <w:t xml:space="preserve">     * *历史渊源注记：* 已婚妇女（最高法院1963年第3号通令及《婚姻法》第31条已废除该项缔约限制）。</w:t>
      </w:r>
    </w:p>
    <w:p>
      <w:pPr>
        <w:spacing w:before="0" w:after="80"/>
      </w:pPr>
    </w:p>
    <w:p>
      <w:pPr>
        <w:spacing w:before="160" w:after="80" w:line="276" w:lineRule="auto"/>
      </w:pPr>
      <w:r>
        <w:rPr>
          <w:rFonts w:ascii="Arial" w:hAnsi="Arial"/>
          <w:b/>
          <w:color w:val="0F172A"/>
          <w:sz w:val="21"/>
        </w:rPr>
        <w:t>##### 二、 客观要件（关于合同客体与实体内容）</w:t>
      </w:r>
    </w:p>
    <w:p>
      <w:pPr>
        <w:spacing w:before="0" w:after="80" w:line="276" w:lineRule="auto"/>
      </w:pPr>
      <w:r>
        <w:rPr>
          <w:rFonts w:ascii="Arial" w:hAnsi="Arial"/>
          <w:color w:val="1E293B"/>
          <w:sz w:val="20"/>
        </w:rPr>
        <w:t>3. **确定之标的（*Suatu Hal Tertentu / Bepaalde Onderwerp*）**</w:t>
      </w:r>
    </w:p>
    <w:p>
      <w:pPr>
        <w:spacing w:before="0" w:after="80" w:line="276" w:lineRule="auto"/>
      </w:pPr>
      <w:r>
        <w:rPr>
          <w:rFonts w:ascii="Arial" w:hAnsi="Arial"/>
          <w:color w:val="1E293B"/>
          <w:sz w:val="20"/>
        </w:rPr>
        <w:t xml:space="preserve">   * 根据《民法典》第1332条及第1333条，合同标的物必须具有可确定性（*bepaalbaar*），且必须属于法律上允许流通交易的财产或行为。标的物的数量可在订约时尚未确定，但必须能够在日后根据合同约定予以计算或确定。</w:t>
      </w:r>
    </w:p>
    <w:p>
      <w:pPr>
        <w:spacing w:before="0" w:after="80" w:line="276" w:lineRule="auto"/>
      </w:pPr>
      <w:r>
        <w:rPr>
          <w:rFonts w:ascii="Arial" w:hAnsi="Arial"/>
          <w:color w:val="1E293B"/>
          <w:sz w:val="20"/>
        </w:rPr>
        <w:t>4. **合法之原因（*Sebab yang Halal / Geoorloofde Causa*）**</w:t>
      </w:r>
    </w:p>
    <w:p>
      <w:pPr>
        <w:spacing w:before="0" w:after="80" w:line="276" w:lineRule="auto"/>
      </w:pPr>
      <w:r>
        <w:rPr>
          <w:rFonts w:ascii="Arial" w:hAnsi="Arial"/>
          <w:color w:val="1E293B"/>
          <w:sz w:val="20"/>
        </w:rPr>
        <w:t xml:space="preserve">   * *“原因”（Causa）*系指合同所设立权利义务的客观目的与法律效果，而非当事人的主观动机（*beweegreden*）。</w:t>
      </w:r>
    </w:p>
    <w:p>
      <w:pPr>
        <w:spacing w:before="0" w:after="80" w:line="276" w:lineRule="auto"/>
      </w:pPr>
      <w:r>
        <w:rPr>
          <w:rFonts w:ascii="Arial" w:hAnsi="Arial"/>
          <w:color w:val="1E293B"/>
          <w:sz w:val="20"/>
        </w:rPr>
        <w:t xml:space="preserve">   * 根据《民法典》第1335条与第1337条，凡具有下列情形之一的，属于**非法原因**：</w:t>
      </w:r>
    </w:p>
    <w:p>
      <w:pPr>
        <w:spacing w:before="0" w:after="80" w:line="276" w:lineRule="auto"/>
      </w:pPr>
      <w:r>
        <w:rPr>
          <w:rFonts w:ascii="Arial" w:hAnsi="Arial"/>
          <w:color w:val="1E293B"/>
          <w:sz w:val="20"/>
        </w:rPr>
        <w:t xml:space="preserve">     * 违反强制性法律规范（*dwingend recht*）；</w:t>
      </w:r>
    </w:p>
    <w:p>
      <w:pPr>
        <w:spacing w:before="0" w:after="80" w:line="276" w:lineRule="auto"/>
      </w:pPr>
      <w:r>
        <w:rPr>
          <w:rFonts w:ascii="Arial" w:hAnsi="Arial"/>
          <w:color w:val="1E293B"/>
          <w:sz w:val="20"/>
        </w:rPr>
        <w:t xml:space="preserve">     * 危害公共秩序（*openbare orde*）；或</w:t>
      </w:r>
    </w:p>
    <w:p>
      <w:pPr>
        <w:spacing w:before="0" w:after="80" w:line="276" w:lineRule="auto"/>
      </w:pPr>
      <w:r>
        <w:rPr>
          <w:rFonts w:ascii="Arial" w:hAnsi="Arial"/>
          <w:color w:val="1E293B"/>
          <w:sz w:val="20"/>
        </w:rPr>
        <w:t xml:space="preserve">     * 违背社会公序良俗（*goede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违反法定要件的法律后果对比</w:t>
      </w:r>
    </w:p>
    <w:p>
      <w:pPr>
        <w:spacing w:before="0" w:after="80"/>
      </w:pPr>
    </w:p>
    <w:p>
      <w:pPr>
        <w:spacing w:before="0" w:after="80" w:line="276" w:lineRule="auto"/>
      </w:pPr>
      <w:r>
        <w:rPr>
          <w:rFonts w:ascii="Arial" w:hAnsi="Arial"/>
          <w:color w:val="1E293B"/>
          <w:sz w:val="20"/>
        </w:rPr>
        <w:t>* **违反主观要件（第1项及第2项）：**</w:t>
      </w:r>
    </w:p>
    <w:p>
      <w:pPr>
        <w:spacing w:before="0" w:after="80" w:line="276" w:lineRule="auto"/>
      </w:pPr>
      <w:r>
        <w:rPr>
          <w:rFonts w:ascii="Arial" w:hAnsi="Arial"/>
          <w:color w:val="1E293B"/>
          <w:sz w:val="20"/>
        </w:rPr>
        <w:t xml:space="preserve">  * 法律后果为**得撤销（*Dapat Dibatalkan / Vernietigbaar / Voidable*）**。</w:t>
      </w:r>
    </w:p>
    <w:p>
      <w:pPr>
        <w:spacing w:before="0" w:after="80" w:line="276" w:lineRule="auto"/>
      </w:pPr>
      <w:r>
        <w:rPr>
          <w:rFonts w:ascii="Arial" w:hAnsi="Arial"/>
          <w:color w:val="1E293B"/>
          <w:sz w:val="20"/>
        </w:rPr>
        <w:t xml:space="preserve">  * 该合同在未被依法行使撤销权之前，对外仍然推定有效并具有执行力；仅能由欠缺行为能力的一方或意思表示受瑕疵影响的一方向法院提起民事诉讼请求判决撤销（依据《民法典》第1454条，撤销权诉讼时效通常为5年）。</w:t>
      </w:r>
    </w:p>
    <w:p>
      <w:pPr>
        <w:spacing w:before="0" w:after="80" w:line="276" w:lineRule="auto"/>
      </w:pPr>
      <w:r>
        <w:rPr>
          <w:rFonts w:ascii="Arial" w:hAnsi="Arial"/>
          <w:color w:val="1E293B"/>
          <w:sz w:val="20"/>
        </w:rPr>
        <w:t>* **违反客观要件（第3项及第4项）：**</w:t>
      </w:r>
    </w:p>
    <w:p>
      <w:pPr>
        <w:spacing w:before="0" w:after="80" w:line="276" w:lineRule="auto"/>
      </w:pPr>
      <w:r>
        <w:rPr>
          <w:rFonts w:ascii="Arial" w:hAnsi="Arial"/>
          <w:color w:val="1E293B"/>
          <w:sz w:val="20"/>
        </w:rPr>
        <w:t xml:space="preserve">  * 法律后果为**自始绝对无效 / 当然无效（*Batal Demi Hukum / Nietig van rechtswege / Null and Void ab initio*）**。</w:t>
      </w:r>
    </w:p>
    <w:p>
      <w:pPr>
        <w:spacing w:before="0" w:after="80" w:line="276" w:lineRule="auto"/>
      </w:pPr>
      <w:r>
        <w:rPr>
          <w:rFonts w:ascii="Arial" w:hAnsi="Arial"/>
          <w:color w:val="1E293B"/>
          <w:sz w:val="20"/>
        </w:rPr>
        <w:t xml:space="preserve">  * 法律视该合同自始从未产生任何拘束力（*视为未曾存在*）。当事人不得依据该无效合同向法院主张违约救济或请求强制履行。</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交叉法规适用与跨境合规实操指引</w:t>
      </w:r>
    </w:p>
    <w:p>
      <w:pPr>
        <w:spacing w:before="0" w:after="80"/>
      </w:pPr>
    </w:p>
    <w:p>
      <w:pPr>
        <w:spacing w:before="0" w:after="80" w:line="276" w:lineRule="auto"/>
      </w:pPr>
      <w:r>
        <w:rPr>
          <w:rFonts w:ascii="Arial" w:hAnsi="Arial"/>
          <w:color w:val="1E293B"/>
          <w:sz w:val="20"/>
        </w:rPr>
        <w:t>1. **公司法人代表权核查（印尼第40/2007号《有限责任公司法》及第6/2023号综合性法规）：**</w:t>
      </w:r>
    </w:p>
    <w:p>
      <w:pPr>
        <w:spacing w:before="0" w:after="80" w:line="276" w:lineRule="auto"/>
      </w:pPr>
      <w:r>
        <w:rPr>
          <w:rFonts w:ascii="Arial" w:hAnsi="Arial"/>
          <w:color w:val="1E293B"/>
          <w:sz w:val="20"/>
        </w:rPr>
        <w:t xml:space="preserve">   * 审查商业合同相对方的主体行为能力时，必须依其公司章程（*Anggaran Dasar*）审查董事（*Direksi*）的代表权限，核实是否需要取得董事会、监事会或股东会（RUPS）的事先书面批准，防范**越权行为（*Ultra Vires*）**导致代表权瑕疵。</w:t>
      </w:r>
    </w:p>
    <w:p>
      <w:pPr>
        <w:spacing w:before="0" w:after="80" w:line="276" w:lineRule="auto"/>
      </w:pPr>
      <w:r>
        <w:rPr>
          <w:rFonts w:ascii="Arial" w:hAnsi="Arial"/>
          <w:color w:val="1E293B"/>
          <w:sz w:val="20"/>
        </w:rPr>
        <w:t>2. **电子合同效力（印尼《电子信息与交易法》第11/2008号结合第1/2024号修正案及第71/2019号政府条例）：**</w:t>
      </w:r>
    </w:p>
    <w:p>
      <w:pPr>
        <w:spacing w:before="0" w:after="80" w:line="276" w:lineRule="auto"/>
      </w:pPr>
      <w:r>
        <w:rPr>
          <w:rFonts w:ascii="Arial" w:hAnsi="Arial"/>
          <w:color w:val="1E293B"/>
          <w:sz w:val="20"/>
        </w:rPr>
        <w:t xml:space="preserve">   * 电子交易合意必须满足电子签名认证合规或明示点击确认（*Click-wrap agreement*）机制，以确保符合《民法典》第1320条第1款的真实意思表示认定。</w:t>
      </w:r>
    </w:p>
    <w:p>
      <w:pPr>
        <w:spacing w:before="0" w:after="80" w:line="276" w:lineRule="auto"/>
      </w:pPr>
      <w:r>
        <w:rPr>
          <w:rFonts w:ascii="Arial" w:hAnsi="Arial"/>
          <w:color w:val="1E293B"/>
          <w:sz w:val="20"/>
        </w:rPr>
        <w:t>3. **印尼语语言法定要求（印尼第24/2009号国旗、语言、国徽和国歌法及第63/2019号总统令）：**</w:t>
      </w:r>
    </w:p>
    <w:p>
      <w:pPr>
        <w:spacing w:before="0" w:after="80" w:line="276" w:lineRule="auto"/>
      </w:pPr>
      <w:r>
        <w:rPr>
          <w:rFonts w:ascii="Arial" w:hAnsi="Arial"/>
          <w:color w:val="1E293B"/>
          <w:sz w:val="20"/>
        </w:rPr>
        <w:t xml:space="preserve">   * 涉及印尼法人或公民的商业协议，必须包含印尼语文本。若仅签署外文文本，可能被印尼法院援引为违反强制性法律及公共秩序，从而依据《民法典》第1320条第4款（不具备合法原因）被裁定为自始无效。</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