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80"/>
        <w:jc w:val="center"/>
      </w:pPr>
      <w:r>
        <w:rPr>
          <w:rFonts w:ascii="Arial" w:hAnsi="Arial"/>
          <w:b/>
          <w:color w:val="0F172A"/>
          <w:sz w:val="28"/>
        </w:rPr>
        <w:t>hukum.live</w:t>
      </w:r>
    </w:p>
    <w:p>
      <w:pPr>
        <w:spacing w:before="0" w:after="160"/>
        <w:jc w:val="center"/>
      </w:pPr>
      <w:r>
        <w:rPr>
          <w:rFonts w:ascii="Arial" w:hAnsi="Arial"/>
          <w:b/>
          <w:color w:val="B45309"/>
          <w:sz w:val="22"/>
        </w:rPr>
        <w:t>Statutory Laws &amp; Regulations Lookup: "Article 1320"</w:t>
      </w:r>
    </w:p>
    <w:p>
      <w:pPr>
        <w:spacing w:before="0" w:after="360"/>
        <w:jc w:val="center"/>
      </w:pPr>
      <w:r>
        <w:rPr>
          <w:rFonts w:ascii="Arial" w:hAnsi="Arial"/>
          <w:color w:val="64748B"/>
          <w:sz w:val="17"/>
        </w:rPr>
        <w:t>CATEGORY: CORPORATE &amp; INVESTMENT | DUAL LANGUAGE: ID ↔ ENGLISH | 06 November 2026</w:t>
      </w:r>
    </w:p>
    <w:p>
      <w:pPr>
        <w:spacing w:before="280" w:after="120"/>
      </w:pPr>
      <w:r>
        <w:rPr>
          <w:rFonts w:ascii="Arial" w:hAnsi="Arial"/>
          <w:b/>
          <w:color w:val="0F172A"/>
          <w:sz w:val="24"/>
        </w:rPr>
        <w:t>1. Analisis Hukum &amp; Rujukan Statuta (Bahasa Indonesia)</w:t>
      </w:r>
    </w:p>
    <w:p>
      <w:pPr>
        <w:spacing w:before="160" w:after="80" w:line="276" w:lineRule="auto"/>
      </w:pPr>
      <w:r>
        <w:rPr>
          <w:rFonts w:ascii="Arial" w:hAnsi="Arial"/>
          <w:b/>
          <w:color w:val="0F172A"/>
          <w:sz w:val="21"/>
        </w:rPr>
        <w:t>ANALISIS HUKUM &amp; PASAL TERKAIT (BAHASA INDONESIA)</w:t>
      </w:r>
    </w:p>
    <w:p>
      <w:pPr>
        <w:spacing w:before="0" w:after="80"/>
      </w:pPr>
    </w:p>
    <w:p>
      <w:pPr>
        <w:spacing w:before="160" w:after="80" w:line="276" w:lineRule="auto"/>
      </w:pPr>
      <w:r>
        <w:rPr>
          <w:rFonts w:ascii="Arial" w:hAnsi="Arial"/>
          <w:b/>
          <w:color w:val="0F172A"/>
          <w:sz w:val="21"/>
        </w:rPr>
        <w:t>#### 1. Dasar Hukum Positif</w:t>
      </w:r>
    </w:p>
    <w:p>
      <w:pPr>
        <w:spacing w:before="0" w:after="80" w:line="276" w:lineRule="auto"/>
      </w:pPr>
      <w:r>
        <w:rPr>
          <w:rFonts w:ascii="Arial" w:hAnsi="Arial"/>
          <w:color w:val="1E293B"/>
          <w:sz w:val="20"/>
        </w:rPr>
        <w:t>Pasal 1320 Kitab Undang-Undang Hukum Perdata (*Burgerlijk Wetboek voor Indonesië* / KUHPerdata), Buku Ketiga tentang Perikatan (*Van Verbintenissen*), Bab II, Bagian 2, mengatur ketentuan imperatif mengenai syarat-syarat sahnya suatu perjanjian:</w:t>
      </w:r>
    </w:p>
    <w:p>
      <w:pPr>
        <w:spacing w:before="0" w:after="80"/>
      </w:pPr>
    </w:p>
    <w:p>
      <w:pPr>
        <w:spacing w:before="0" w:after="80" w:line="276" w:lineRule="auto"/>
      </w:pPr>
      <w:r>
        <w:rPr>
          <w:rFonts w:ascii="Arial" w:hAnsi="Arial"/>
          <w:color w:val="1E293B"/>
          <w:sz w:val="20"/>
        </w:rPr>
        <w:t>&gt; **Pasal 1320 KUHPerdata:**</w:t>
      </w:r>
    </w:p>
    <w:p>
      <w:pPr>
        <w:spacing w:before="0" w:after="80" w:line="276" w:lineRule="auto"/>
      </w:pPr>
      <w:r>
        <w:rPr>
          <w:rFonts w:ascii="Arial" w:hAnsi="Arial"/>
          <w:color w:val="1E293B"/>
          <w:sz w:val="20"/>
        </w:rPr>
        <w:t>&gt; *"Supaya terjadi persetujuan yang sah, perlu dipenuhi empat syarat:*</w:t>
      </w:r>
    </w:p>
    <w:p>
      <w:pPr>
        <w:spacing w:before="0" w:after="80" w:line="276" w:lineRule="auto"/>
      </w:pPr>
      <w:r>
        <w:rPr>
          <w:rFonts w:ascii="Arial" w:hAnsi="Arial"/>
          <w:color w:val="1E293B"/>
          <w:sz w:val="20"/>
        </w:rPr>
        <w:t>&gt; 1. *kesepakatan mereka yang mengikatkan dirinya;*</w:t>
      </w:r>
    </w:p>
    <w:p>
      <w:pPr>
        <w:spacing w:before="0" w:after="80" w:line="276" w:lineRule="auto"/>
      </w:pPr>
      <w:r>
        <w:rPr>
          <w:rFonts w:ascii="Arial" w:hAnsi="Arial"/>
          <w:color w:val="1E293B"/>
          <w:sz w:val="20"/>
        </w:rPr>
        <w:t>&gt; 2. *kecakapan untuk membuat suatu perikatan;*</w:t>
      </w:r>
    </w:p>
    <w:p>
      <w:pPr>
        <w:spacing w:before="0" w:after="80" w:line="276" w:lineRule="auto"/>
      </w:pPr>
      <w:r>
        <w:rPr>
          <w:rFonts w:ascii="Arial" w:hAnsi="Arial"/>
          <w:color w:val="1E293B"/>
          <w:sz w:val="20"/>
        </w:rPr>
        <w:t>&gt; 3. *suatu pokok persoalan tertentu;*</w:t>
      </w:r>
    </w:p>
    <w:p>
      <w:pPr>
        <w:spacing w:before="0" w:after="80" w:line="276" w:lineRule="auto"/>
      </w:pPr>
      <w:r>
        <w:rPr>
          <w:rFonts w:ascii="Arial" w:hAnsi="Arial"/>
          <w:color w:val="1E293B"/>
          <w:sz w:val="20"/>
        </w:rPr>
        <w:t>&gt; 4. *suatu sebab yang tidak terlarang."*</w:t>
      </w:r>
    </w:p>
    <w:p>
      <w:pPr>
        <w:spacing w:before="0" w:after="80"/>
      </w:pPr>
    </w:p>
    <w:p>
      <w:pPr>
        <w:spacing w:before="0" w:after="80" w:line="276" w:lineRule="auto"/>
      </w:pPr>
      <w:r>
        <w:rPr>
          <w:rFonts w:ascii="Arial" w:hAnsi="Arial"/>
          <w:color w:val="1E293B"/>
          <w:sz w:val="20"/>
        </w:rPr>
        <w:t>---</w:t>
      </w:r>
    </w:p>
    <w:p>
      <w:pPr>
        <w:spacing w:before="0" w:after="80"/>
      </w:pPr>
    </w:p>
    <w:p>
      <w:pPr>
        <w:spacing w:before="160" w:after="80" w:line="276" w:lineRule="auto"/>
      </w:pPr>
      <w:r>
        <w:rPr>
          <w:rFonts w:ascii="Arial" w:hAnsi="Arial"/>
          <w:b/>
          <w:color w:val="0F172A"/>
          <w:sz w:val="21"/>
        </w:rPr>
        <w:t>#### 2. Klasifikasi dan Anatomi Yuridis</w:t>
      </w:r>
    </w:p>
    <w:p>
      <w:pPr>
        <w:spacing w:before="0" w:after="80"/>
      </w:pPr>
    </w:p>
    <w:p>
      <w:pPr>
        <w:spacing w:before="0" w:after="80" w:line="276" w:lineRule="auto"/>
      </w:pPr>
      <w:r>
        <w:rPr>
          <w:rFonts w:ascii="Arial" w:hAnsi="Arial"/>
          <w:color w:val="1E293B"/>
          <w:sz w:val="20"/>
        </w:rPr>
        <w:t>Doktrin hukum perdata mengklasifikasikan keempat syarat tersebut ke dalam 2 (dua) kategori utama:</w:t>
      </w:r>
    </w:p>
    <w:p>
      <w:pPr>
        <w:spacing w:before="0" w:after="80"/>
      </w:pPr>
    </w:p>
    <w:p>
      <w:pPr>
        <w:spacing w:before="160" w:after="80" w:line="276" w:lineRule="auto"/>
      </w:pPr>
      <w:r>
        <w:rPr>
          <w:rFonts w:ascii="Arial" w:hAnsi="Arial"/>
          <w:b/>
          <w:color w:val="0F172A"/>
          <w:sz w:val="21"/>
        </w:rPr>
        <w:t>##### A. Syarat Subjektif (Menyangkut Para Pihak / Subjek Hukum)</w:t>
      </w:r>
    </w:p>
    <w:p>
      <w:pPr>
        <w:spacing w:before="0" w:after="80" w:line="276" w:lineRule="auto"/>
      </w:pPr>
      <w:r>
        <w:rPr>
          <w:rFonts w:ascii="Arial" w:hAnsi="Arial"/>
          <w:color w:val="1E293B"/>
          <w:sz w:val="20"/>
        </w:rPr>
        <w:t>1. **Kesepakatan Kehendak (*Consensus / Toestemming*) (Angka 1):**</w:t>
      </w:r>
    </w:p>
    <w:p>
      <w:pPr>
        <w:spacing w:before="0" w:after="80" w:line="276" w:lineRule="auto"/>
      </w:pPr>
      <w:r>
        <w:rPr>
          <w:rFonts w:ascii="Arial" w:hAnsi="Arial"/>
          <w:color w:val="1E293B"/>
          <w:sz w:val="20"/>
        </w:rPr>
        <w:t xml:space="preserve">   * Persesuaian pernyataan kehendak bebas antara para pihak tanpa adanya cacat kehendak (*wilsgebreken*).</w:t>
      </w:r>
    </w:p>
    <w:p>
      <w:pPr>
        <w:spacing w:before="0" w:after="80" w:line="276" w:lineRule="auto"/>
      </w:pPr>
      <w:r>
        <w:rPr>
          <w:rFonts w:ascii="Arial" w:hAnsi="Arial"/>
          <w:color w:val="1E293B"/>
          <w:sz w:val="20"/>
        </w:rPr>
        <w:t xml:space="preserve">   * Berdasarkan Pasal 1321 KUHPerdata, kesepakatan menjadi tidak sah apabila diberikan karena:</w:t>
      </w:r>
    </w:p>
    <w:p>
      <w:pPr>
        <w:spacing w:before="0" w:after="80" w:line="276" w:lineRule="auto"/>
      </w:pPr>
      <w:r>
        <w:rPr>
          <w:rFonts w:ascii="Arial" w:hAnsi="Arial"/>
          <w:color w:val="1E293B"/>
          <w:sz w:val="20"/>
        </w:rPr>
        <w:t xml:space="preserve">     * Kekhilafan/Kesesatan (*dwaling*, Pasal 1322 KUHPerdata);</w:t>
      </w:r>
    </w:p>
    <w:p>
      <w:pPr>
        <w:spacing w:before="0" w:after="80" w:line="276" w:lineRule="auto"/>
      </w:pPr>
      <w:r>
        <w:rPr>
          <w:rFonts w:ascii="Arial" w:hAnsi="Arial"/>
          <w:color w:val="1E293B"/>
          <w:sz w:val="20"/>
        </w:rPr>
        <w:t xml:space="preserve">     * Paksaan (*dwang*, Pasal 1323–1327 KUHPerdata); atau</w:t>
      </w:r>
    </w:p>
    <w:p>
      <w:pPr>
        <w:spacing w:before="0" w:after="80" w:line="276" w:lineRule="auto"/>
      </w:pPr>
      <w:r>
        <w:rPr>
          <w:rFonts w:ascii="Arial" w:hAnsi="Arial"/>
          <w:color w:val="1E293B"/>
          <w:sz w:val="20"/>
        </w:rPr>
        <w:t xml:space="preserve">     * Penipuan (*bedrog*, Pasal 1328 KUHPerdata).</w:t>
      </w:r>
    </w:p>
    <w:p>
      <w:pPr>
        <w:spacing w:before="0" w:after="80" w:line="276" w:lineRule="auto"/>
      </w:pPr>
      <w:r>
        <w:rPr>
          <w:rFonts w:ascii="Arial" w:hAnsi="Arial"/>
          <w:color w:val="1E293B"/>
          <w:sz w:val="20"/>
        </w:rPr>
        <w:t xml:space="preserve">     * Yurisprudensi modern juga mengakui penyalahgunaan keadaan (*misbruik van omstandigheden* / *undue influence*).</w:t>
      </w:r>
    </w:p>
    <w:p>
      <w:pPr>
        <w:spacing w:before="0" w:after="80" w:line="276" w:lineRule="auto"/>
      </w:pPr>
      <w:r>
        <w:rPr>
          <w:rFonts w:ascii="Arial" w:hAnsi="Arial"/>
          <w:color w:val="1E293B"/>
          <w:sz w:val="20"/>
        </w:rPr>
        <w:t>2. **Kecakapan Bertindak (*Bekwaamheid*) (Angka 2):**</w:t>
      </w:r>
    </w:p>
    <w:p>
      <w:pPr>
        <w:spacing w:before="0" w:after="80" w:line="276" w:lineRule="auto"/>
      </w:pPr>
      <w:r>
        <w:rPr>
          <w:rFonts w:ascii="Arial" w:hAnsi="Arial"/>
          <w:color w:val="1E293B"/>
          <w:sz w:val="20"/>
        </w:rPr>
        <w:t xml:space="preserve">   * Kemampuan hukum seseorang untuk melakukan perbuatan hukum yang mengikat dirinya sendiri.</w:t>
      </w:r>
    </w:p>
    <w:p>
      <w:pPr>
        <w:spacing w:before="0" w:after="80" w:line="276" w:lineRule="auto"/>
      </w:pPr>
      <w:r>
        <w:rPr>
          <w:rFonts w:ascii="Arial" w:hAnsi="Arial"/>
          <w:color w:val="1E293B"/>
          <w:sz w:val="20"/>
        </w:rPr>
        <w:t xml:space="preserve">   * Merujuk Pasal 1329 dan Pasal 1330 KUHPerdata, subjek hukum yang tidak cakap (*onbekwaam*) adalah:</w:t>
      </w:r>
    </w:p>
    <w:p>
      <w:pPr>
        <w:spacing w:before="0" w:after="80" w:line="276" w:lineRule="auto"/>
      </w:pPr>
      <w:r>
        <w:rPr>
          <w:rFonts w:ascii="Arial" w:hAnsi="Arial"/>
          <w:color w:val="1E293B"/>
          <w:sz w:val="20"/>
        </w:rPr>
        <w:t xml:space="preserve">     * Anak yang belum dewasa (diselaraskan dengan usia 18 tahun berdasarkan Pasal 330 KUHPerdata *jo.* UU No. 1/1974 tentang Perkawinan sebagaimana diubah oleh UU No. 16/2019, atau UU No. 35/2014 tentang Perlindungan Anak);</w:t>
      </w:r>
    </w:p>
    <w:p>
      <w:pPr>
        <w:spacing w:before="0" w:after="80" w:line="276" w:lineRule="auto"/>
      </w:pPr>
      <w:r>
        <w:rPr>
          <w:rFonts w:ascii="Arial" w:hAnsi="Arial"/>
          <w:color w:val="1E293B"/>
          <w:sz w:val="20"/>
        </w:rPr>
        <w:t xml:space="preserve">     * Orang yang ditaruh di bawah pengampuan (*curatele*);</w:t>
      </w:r>
    </w:p>
    <w:p>
      <w:pPr>
        <w:spacing w:before="0" w:after="80" w:line="276" w:lineRule="auto"/>
      </w:pPr>
      <w:r>
        <w:rPr>
          <w:rFonts w:ascii="Arial" w:hAnsi="Arial"/>
          <w:color w:val="1E293B"/>
          <w:sz w:val="20"/>
        </w:rPr>
        <w:t xml:space="preserve">     * Orang-orang perempuan yang telah kawin (ketentuan ini telah dicabut dan dinyatakan tidak berlaku oleh Surat Edaran Mahkamah Agung/SEMA No. 3 Tahun 1963 dan Pasal 31 UU Perkawinan).</w:t>
      </w:r>
    </w:p>
    <w:p>
      <w:pPr>
        <w:spacing w:before="0" w:after="80"/>
      </w:pPr>
    </w:p>
    <w:p>
      <w:pPr>
        <w:spacing w:before="160" w:after="80" w:line="276" w:lineRule="auto"/>
      </w:pPr>
      <w:r>
        <w:rPr>
          <w:rFonts w:ascii="Arial" w:hAnsi="Arial"/>
          <w:b/>
          <w:color w:val="0F172A"/>
          <w:sz w:val="21"/>
        </w:rPr>
        <w:t>##### B. Syarat Objektif (Menyangkut Objek Perjanjian)</w:t>
      </w:r>
    </w:p>
    <w:p>
      <w:pPr>
        <w:spacing w:before="0" w:after="80" w:line="276" w:lineRule="auto"/>
      </w:pPr>
      <w:r>
        <w:rPr>
          <w:rFonts w:ascii="Arial" w:hAnsi="Arial"/>
          <w:color w:val="1E293B"/>
          <w:sz w:val="20"/>
        </w:rPr>
        <w:t>3. **Suatu Pokok Persoalan Tertentu (*Bepaald Onderwerp*) (Angka 3):**</w:t>
      </w:r>
    </w:p>
    <w:p>
      <w:pPr>
        <w:spacing w:before="0" w:after="80" w:line="276" w:lineRule="auto"/>
      </w:pPr>
      <w:r>
        <w:rPr>
          <w:rFonts w:ascii="Arial" w:hAnsi="Arial"/>
          <w:color w:val="1E293B"/>
          <w:sz w:val="20"/>
        </w:rPr>
        <w:t xml:space="preserve">   * Objek perjanjian harus dapat ditentukan jenis dan jumlahnya atau setidak-tidaknya dapat dihitung di kemudian hari (Pasal 1332 dan Pasal 1333 KUHPerdata). Objek tersebut harus berupa barang atau jasa yang berada dalam peredaran perdagangan (*in de handel*).</w:t>
      </w:r>
    </w:p>
    <w:p>
      <w:pPr>
        <w:spacing w:before="0" w:after="80" w:line="276" w:lineRule="auto"/>
      </w:pPr>
      <w:r>
        <w:rPr>
          <w:rFonts w:ascii="Arial" w:hAnsi="Arial"/>
          <w:color w:val="1E293B"/>
          <w:sz w:val="20"/>
        </w:rPr>
        <w:t>4. **Sebab yang Tidak Terlarang / Kausa yang Halal (*Geoorloofde Oorzaak*) (Angka 4):**</w:t>
      </w:r>
    </w:p>
    <w:p>
      <w:pPr>
        <w:spacing w:before="0" w:after="80" w:line="276" w:lineRule="auto"/>
      </w:pPr>
      <w:r>
        <w:rPr>
          <w:rFonts w:ascii="Arial" w:hAnsi="Arial"/>
          <w:color w:val="1E293B"/>
          <w:sz w:val="20"/>
        </w:rPr>
        <w:t xml:space="preserve">   * Maksud atau tujuan dibuatnya perjanjian tidak boleh bertentangan dengan undang-undang, ketertiban umum (*openbare orde*), atau kesusilaan yang baik (*goede zeden*) (Pasal 1335 dan Pasal 1337 KUHPerdata).</w:t>
      </w:r>
    </w:p>
    <w:p>
      <w:pPr>
        <w:spacing w:before="0" w:after="80"/>
      </w:pPr>
    </w:p>
    <w:p>
      <w:pPr>
        <w:spacing w:before="0" w:after="80" w:line="276" w:lineRule="auto"/>
      </w:pPr>
      <w:r>
        <w:rPr>
          <w:rFonts w:ascii="Arial" w:hAnsi="Arial"/>
          <w:color w:val="1E293B"/>
          <w:sz w:val="20"/>
        </w:rPr>
        <w:t>---</w:t>
      </w:r>
    </w:p>
    <w:p>
      <w:pPr>
        <w:spacing w:before="0" w:after="80"/>
      </w:pPr>
    </w:p>
    <w:p>
      <w:pPr>
        <w:spacing w:before="160" w:after="80" w:line="276" w:lineRule="auto"/>
      </w:pPr>
      <w:r>
        <w:rPr>
          <w:rFonts w:ascii="Arial" w:hAnsi="Arial"/>
          <w:b/>
          <w:color w:val="0F172A"/>
          <w:sz w:val="21"/>
        </w:rPr>
        <w:t>#### 3. Konsekuensi Yuridis Ketidakpenuhan Syarat</w:t>
      </w:r>
    </w:p>
    <w:p>
      <w:pPr>
        <w:spacing w:before="0" w:after="80"/>
      </w:pPr>
    </w:p>
    <w:p>
      <w:pPr>
        <w:spacing w:before="0" w:after="80" w:line="276" w:lineRule="auto"/>
      </w:pPr>
      <w:r>
        <w:rPr>
          <w:rFonts w:ascii="Arial" w:hAnsi="Arial"/>
          <w:color w:val="1E293B"/>
          <w:sz w:val="20"/>
        </w:rPr>
        <w:t>* **Pelanggaran Syarat Subjektif (Angka 1 &amp; 2):**</w:t>
      </w:r>
    </w:p>
    <w:p>
      <w:pPr>
        <w:spacing w:before="0" w:after="80" w:line="276" w:lineRule="auto"/>
      </w:pPr>
      <w:r>
        <w:rPr>
          <w:rFonts w:ascii="Arial" w:hAnsi="Arial"/>
          <w:color w:val="1E293B"/>
          <w:sz w:val="20"/>
        </w:rPr>
        <w:t xml:space="preserve">  Perjanjian berakibat **Dapat Dibatalkan (*Vernietigbaar* / *Voidable*)**. Perjanjian tetap sah dan mengikat para pihak selama belum dibatalkan oleh hakim melalui putusan pengadilan atas gugatan pembatalan (*actie tot vernietiging*) yang diajukan oleh pihak yang tidak cakap atau pihak yang kesepakatannya cacat (tenggang kedaluwarsa 5 tahun sesuai Pasal 1454 KUHPerdata).</w:t>
      </w:r>
    </w:p>
    <w:p>
      <w:pPr>
        <w:spacing w:before="0" w:after="80" w:line="276" w:lineRule="auto"/>
      </w:pPr>
      <w:r>
        <w:rPr>
          <w:rFonts w:ascii="Arial" w:hAnsi="Arial"/>
          <w:color w:val="1E293B"/>
          <w:sz w:val="20"/>
        </w:rPr>
        <w:t>* **Pelanggaran Syarat Objektif (Angka 3 &amp; 4):**</w:t>
      </w:r>
    </w:p>
    <w:p>
      <w:pPr>
        <w:spacing w:before="0" w:after="80" w:line="276" w:lineRule="auto"/>
      </w:pPr>
      <w:r>
        <w:rPr>
          <w:rFonts w:ascii="Arial" w:hAnsi="Arial"/>
          <w:color w:val="1E293B"/>
          <w:sz w:val="20"/>
        </w:rPr>
        <w:t xml:space="preserve">  Perjanjian berakibat **Batal Demi Hukum (*Nietig van rechtswege* / *Null and Void ab initio*)**. Sejak awal perjanjian dianggap tidak pernah ada atau tidak pernah lahir dalam ranah hukum, sehingga tidak ada hak dan kewajiban yang dapat dieksekusi (*unenforceable*), dan para pihak dikembalikan ke keadaan semula (*restitutio in integrum*).</w:t>
      </w:r>
    </w:p>
    <w:p>
      <w:pPr>
        <w:spacing w:before="0" w:after="80"/>
      </w:pPr>
    </w:p>
    <w:p>
      <w:pPr>
        <w:spacing w:before="0" w:after="80" w:line="276" w:lineRule="auto"/>
      </w:pPr>
      <w:r>
        <w:rPr>
          <w:rFonts w:ascii="Arial" w:hAnsi="Arial"/>
          <w:color w:val="1E293B"/>
          <w:sz w:val="20"/>
        </w:rPr>
        <w:t>---</w:t>
      </w:r>
    </w:p>
    <w:p>
      <w:pPr>
        <w:spacing w:before="0" w:after="80"/>
      </w:pPr>
    </w:p>
    <w:p>
      <w:pPr>
        <w:spacing w:before="160" w:after="80" w:line="276" w:lineRule="auto"/>
      </w:pPr>
      <w:r>
        <w:rPr>
          <w:rFonts w:ascii="Arial" w:hAnsi="Arial"/>
          <w:b/>
          <w:color w:val="0F172A"/>
          <w:sz w:val="21"/>
        </w:rPr>
        <w:t>#### 4. Pedoman Kepatuhan Praktis Kontraktual</w:t>
      </w:r>
    </w:p>
    <w:p>
      <w:pPr>
        <w:spacing w:before="0" w:after="80" w:line="276" w:lineRule="auto"/>
      </w:pPr>
      <w:r>
        <w:rPr>
          <w:rFonts w:ascii="Arial" w:hAnsi="Arial"/>
          <w:color w:val="1E293B"/>
          <w:sz w:val="20"/>
        </w:rPr>
        <w:t>1. **Verifikasi Legal Standing dan Kapasitas:** Pastikan penandatangan memiliki kewenangan yang sah (misal: Direksi sesuai AD/ART dan UU PT No. 40/2007, persetujuan Dekom/RUPS jika disyaratkan, atau Surat Kuasa Khusus).</w:t>
      </w:r>
    </w:p>
    <w:p>
      <w:pPr>
        <w:spacing w:before="0" w:after="80" w:line="276" w:lineRule="auto"/>
      </w:pPr>
      <w:r>
        <w:rPr>
          <w:rFonts w:ascii="Arial" w:hAnsi="Arial"/>
          <w:color w:val="1E293B"/>
          <w:sz w:val="20"/>
        </w:rPr>
        <w:t>2. **Mitigasi Cacat Kehendak:** Dokumentasikan proses negosiasi, risalah rapat, dan cantumkan klausul *entire agreement* serta pernyataan bahwa para pihak menandatangani tanpa paksaan atau tekanan pihak mana pun.</w:t>
      </w:r>
    </w:p>
    <w:p>
      <w:pPr>
        <w:spacing w:before="0" w:after="80" w:line="276" w:lineRule="auto"/>
      </w:pPr>
      <w:r>
        <w:rPr>
          <w:rFonts w:ascii="Arial" w:hAnsi="Arial"/>
          <w:color w:val="1E293B"/>
          <w:sz w:val="20"/>
        </w:rPr>
        <w:t>3. **Presisi Deskripsi Objek:** Definisikan ruang lingkup barang, jasa, nilai, jangka waktu, dan spesifikasi secara terukur guna mencegah sengketa mengenai ketidakpastian objek (*ambiguity*).</w:t>
      </w:r>
    </w:p>
    <w:p>
      <w:pPr>
        <w:spacing w:before="0" w:after="80" w:line="276" w:lineRule="auto"/>
      </w:pPr>
      <w:r>
        <w:rPr>
          <w:rFonts w:ascii="Arial" w:hAnsi="Arial"/>
          <w:color w:val="1E293B"/>
          <w:sz w:val="20"/>
        </w:rPr>
        <w:t>4. **Harmonisasi Regulasi Sektoral:** Pastikan klausul transaksi tidak melanggar ketentuan perundang-undangan khusus, seperti kewajiban penggunaan Bahasa Indonesia (UU No. 24/2009 *jo.* Perpres No. 63/2019) dan kewajiban transaksi mata uang Rupiah (UU No. 7/2011 tentang Mata Uang).</w:t>
      </w:r>
    </w:p>
    <w:p>
      <w:pPr>
        <w:spacing w:before="280" w:after="120"/>
      </w:pPr>
      <w:r>
        <w:rPr>
          <w:rFonts w:ascii="Arial" w:hAnsi="Arial"/>
          <w:b/>
          <w:color w:val="B45309"/>
          <w:sz w:val="24"/>
        </w:rPr>
        <w:t>2. Parallel Statutory Analysis &amp; Translation (English)</w:t>
      </w:r>
    </w:p>
    <w:p>
      <w:pPr>
        <w:spacing w:before="160" w:after="80" w:line="276" w:lineRule="auto"/>
      </w:pPr>
      <w:r>
        <w:rPr>
          <w:rFonts w:ascii="Arial" w:hAnsi="Arial"/>
          <w:b/>
          <w:color w:val="0F172A"/>
          <w:sz w:val="21"/>
        </w:rPr>
        <w:t>LEGAL ANALYSIS &amp; STATUTORY PROVISIONS (ENGLISH)</w:t>
      </w:r>
    </w:p>
    <w:p>
      <w:pPr>
        <w:spacing w:before="0" w:after="80"/>
      </w:pPr>
    </w:p>
    <w:p>
      <w:pPr>
        <w:spacing w:before="160" w:after="80" w:line="276" w:lineRule="auto"/>
      </w:pPr>
      <w:r>
        <w:rPr>
          <w:rFonts w:ascii="Arial" w:hAnsi="Arial"/>
          <w:b/>
          <w:color w:val="0F172A"/>
          <w:sz w:val="21"/>
        </w:rPr>
        <w:t>#### 1. Statutory Basis in Positive Law</w:t>
      </w:r>
    </w:p>
    <w:p>
      <w:pPr>
        <w:spacing w:before="0" w:after="80" w:line="276" w:lineRule="auto"/>
      </w:pPr>
      <w:r>
        <w:rPr>
          <w:rFonts w:ascii="Arial" w:hAnsi="Arial"/>
          <w:color w:val="1E293B"/>
          <w:sz w:val="20"/>
        </w:rPr>
        <w:t>Article 1320 of the Indonesian Civil Code (*Kitab Undang-Undang Hukum Perdata* / KUHPerdata), Book Three on Obligations (*Van Verbintenissen*), Chapter II, Section 2, sets forth the mandatory prerequisites for the formal validity of an agreement:</w:t>
      </w:r>
    </w:p>
    <w:p>
      <w:pPr>
        <w:spacing w:before="0" w:after="80"/>
      </w:pPr>
    </w:p>
    <w:p>
      <w:pPr>
        <w:spacing w:before="0" w:after="80" w:line="276" w:lineRule="auto"/>
      </w:pPr>
      <w:r>
        <w:rPr>
          <w:rFonts w:ascii="Arial" w:hAnsi="Arial"/>
          <w:color w:val="1E293B"/>
          <w:sz w:val="20"/>
        </w:rPr>
        <w:t>&gt; **Article 1320 of the Indonesian Civil Code:**</w:t>
      </w:r>
    </w:p>
    <w:p>
      <w:pPr>
        <w:spacing w:before="0" w:after="80" w:line="276" w:lineRule="auto"/>
      </w:pPr>
      <w:r>
        <w:rPr>
          <w:rFonts w:ascii="Arial" w:hAnsi="Arial"/>
          <w:color w:val="1E293B"/>
          <w:sz w:val="20"/>
        </w:rPr>
        <w:t>&gt; *"In order to be valid, an agreement must satisfy four conditions:*</w:t>
      </w:r>
    </w:p>
    <w:p>
      <w:pPr>
        <w:spacing w:before="0" w:after="80" w:line="276" w:lineRule="auto"/>
      </w:pPr>
      <w:r>
        <w:rPr>
          <w:rFonts w:ascii="Arial" w:hAnsi="Arial"/>
          <w:color w:val="1E293B"/>
          <w:sz w:val="20"/>
        </w:rPr>
        <w:t>&gt; 1. *the consent of the parties binding themselves;*</w:t>
      </w:r>
    </w:p>
    <w:p>
      <w:pPr>
        <w:spacing w:before="0" w:after="80" w:line="276" w:lineRule="auto"/>
      </w:pPr>
      <w:r>
        <w:rPr>
          <w:rFonts w:ascii="Arial" w:hAnsi="Arial"/>
          <w:color w:val="1E293B"/>
          <w:sz w:val="20"/>
        </w:rPr>
        <w:t>&gt; 2. *the capacity to form an obligation;*</w:t>
      </w:r>
    </w:p>
    <w:p>
      <w:pPr>
        <w:spacing w:before="0" w:after="80" w:line="276" w:lineRule="auto"/>
      </w:pPr>
      <w:r>
        <w:rPr>
          <w:rFonts w:ascii="Arial" w:hAnsi="Arial"/>
          <w:color w:val="1E293B"/>
          <w:sz w:val="20"/>
        </w:rPr>
        <w:t>&gt; 3. *a specific subject matter;*</w:t>
      </w:r>
    </w:p>
    <w:p>
      <w:pPr>
        <w:spacing w:before="0" w:after="80" w:line="276" w:lineRule="auto"/>
      </w:pPr>
      <w:r>
        <w:rPr>
          <w:rFonts w:ascii="Arial" w:hAnsi="Arial"/>
          <w:color w:val="1E293B"/>
          <w:sz w:val="20"/>
        </w:rPr>
        <w:t>&gt; 4. *a lawful cause."*</w:t>
      </w:r>
    </w:p>
    <w:p>
      <w:pPr>
        <w:spacing w:before="0" w:after="80"/>
      </w:pPr>
    </w:p>
    <w:p>
      <w:pPr>
        <w:spacing w:before="0" w:after="80" w:line="276" w:lineRule="auto"/>
      </w:pPr>
      <w:r>
        <w:rPr>
          <w:rFonts w:ascii="Arial" w:hAnsi="Arial"/>
          <w:color w:val="1E293B"/>
          <w:sz w:val="20"/>
        </w:rPr>
        <w:t>---</w:t>
      </w:r>
    </w:p>
    <w:p>
      <w:pPr>
        <w:spacing w:before="0" w:after="80"/>
      </w:pPr>
    </w:p>
    <w:p>
      <w:pPr>
        <w:spacing w:before="160" w:after="80" w:line="276" w:lineRule="auto"/>
      </w:pPr>
      <w:r>
        <w:rPr>
          <w:rFonts w:ascii="Arial" w:hAnsi="Arial"/>
          <w:b/>
          <w:color w:val="0F172A"/>
          <w:sz w:val="21"/>
        </w:rPr>
        <w:t>#### 2. Classification and Legal Anatomy</w:t>
      </w:r>
    </w:p>
    <w:p>
      <w:pPr>
        <w:spacing w:before="0" w:after="80"/>
      </w:pPr>
    </w:p>
    <w:p>
      <w:pPr>
        <w:spacing w:before="0" w:after="80" w:line="276" w:lineRule="auto"/>
      </w:pPr>
      <w:r>
        <w:rPr>
          <w:rFonts w:ascii="Arial" w:hAnsi="Arial"/>
          <w:color w:val="1E293B"/>
          <w:sz w:val="20"/>
        </w:rPr>
        <w:t>Indonesian civil law doctrine bifurcates these four requirements into two distinct operational categories:</w:t>
      </w:r>
    </w:p>
    <w:p>
      <w:pPr>
        <w:spacing w:before="0" w:after="80"/>
      </w:pPr>
    </w:p>
    <w:p>
      <w:pPr>
        <w:spacing w:before="160" w:after="80" w:line="276" w:lineRule="auto"/>
      </w:pPr>
      <w:r>
        <w:rPr>
          <w:rFonts w:ascii="Arial" w:hAnsi="Arial"/>
          <w:b/>
          <w:color w:val="0F172A"/>
          <w:sz w:val="21"/>
        </w:rPr>
        <w:t>##### A. Subjective Conditions (Pertaining to the Contracting Parties)</w:t>
      </w:r>
    </w:p>
    <w:p>
      <w:pPr>
        <w:spacing w:before="0" w:after="80" w:line="276" w:lineRule="auto"/>
      </w:pPr>
      <w:r>
        <w:rPr>
          <w:rFonts w:ascii="Arial" w:hAnsi="Arial"/>
          <w:color w:val="1E293B"/>
          <w:sz w:val="20"/>
        </w:rPr>
        <w:t>1. **Mutual Consent (*Consensus*) (Item 1):**</w:t>
      </w:r>
    </w:p>
    <w:p>
      <w:pPr>
        <w:spacing w:before="0" w:after="80" w:line="276" w:lineRule="auto"/>
      </w:pPr>
      <w:r>
        <w:rPr>
          <w:rFonts w:ascii="Arial" w:hAnsi="Arial"/>
          <w:color w:val="1E293B"/>
          <w:sz w:val="20"/>
        </w:rPr>
        <w:t xml:space="preserve">   * The meeting of the minds and the free manifestation of intent between the parties, untainted by defects of consent (*wilsgebreken*).</w:t>
      </w:r>
    </w:p>
    <w:p>
      <w:pPr>
        <w:spacing w:before="0" w:after="80" w:line="276" w:lineRule="auto"/>
      </w:pPr>
      <w:r>
        <w:rPr>
          <w:rFonts w:ascii="Arial" w:hAnsi="Arial"/>
          <w:color w:val="1E293B"/>
          <w:sz w:val="20"/>
        </w:rPr>
        <w:t xml:space="preserve">   * Pursuant to Article 1321 of the Indonesian Civil Code, consent is invalid if obtained via:</w:t>
      </w:r>
    </w:p>
    <w:p>
      <w:pPr>
        <w:spacing w:before="0" w:after="80" w:line="276" w:lineRule="auto"/>
      </w:pPr>
      <w:r>
        <w:rPr>
          <w:rFonts w:ascii="Arial" w:hAnsi="Arial"/>
          <w:color w:val="1E293B"/>
          <w:sz w:val="20"/>
        </w:rPr>
        <w:t xml:space="preserve">     * Mistake/Error (*dwaling*, Article 1322);</w:t>
      </w:r>
    </w:p>
    <w:p>
      <w:pPr>
        <w:spacing w:before="0" w:after="80" w:line="276" w:lineRule="auto"/>
      </w:pPr>
      <w:r>
        <w:rPr>
          <w:rFonts w:ascii="Arial" w:hAnsi="Arial"/>
          <w:color w:val="1E293B"/>
          <w:sz w:val="20"/>
        </w:rPr>
        <w:t xml:space="preserve">     * Duress/Coercion (*dwang*, Articles 1323–1327); or</w:t>
      </w:r>
    </w:p>
    <w:p>
      <w:pPr>
        <w:spacing w:before="0" w:after="80" w:line="276" w:lineRule="auto"/>
      </w:pPr>
      <w:r>
        <w:rPr>
          <w:rFonts w:ascii="Arial" w:hAnsi="Arial"/>
          <w:color w:val="1E293B"/>
          <w:sz w:val="20"/>
        </w:rPr>
        <w:t xml:space="preserve">     * Fraud (*bedrog*, Article 1328).</w:t>
      </w:r>
    </w:p>
    <w:p>
      <w:pPr>
        <w:spacing w:before="0" w:after="80" w:line="276" w:lineRule="auto"/>
      </w:pPr>
      <w:r>
        <w:rPr>
          <w:rFonts w:ascii="Arial" w:hAnsi="Arial"/>
          <w:color w:val="1E293B"/>
          <w:sz w:val="20"/>
        </w:rPr>
        <w:t xml:space="preserve">     * Modern judicial jurisprudence also recognizes abuse of circumstances (*misbruik van omstandigheden* / undue influence).</w:t>
      </w:r>
    </w:p>
    <w:p>
      <w:pPr>
        <w:spacing w:before="0" w:after="80" w:line="276" w:lineRule="auto"/>
      </w:pPr>
      <w:r>
        <w:rPr>
          <w:rFonts w:ascii="Arial" w:hAnsi="Arial"/>
          <w:color w:val="1E293B"/>
          <w:sz w:val="20"/>
        </w:rPr>
        <w:t>2. **Legal Capacity (*Bekwaamheid*) (Item 2):**</w:t>
      </w:r>
    </w:p>
    <w:p>
      <w:pPr>
        <w:spacing w:before="0" w:after="80" w:line="276" w:lineRule="auto"/>
      </w:pPr>
      <w:r>
        <w:rPr>
          <w:rFonts w:ascii="Arial" w:hAnsi="Arial"/>
          <w:color w:val="1E293B"/>
          <w:sz w:val="20"/>
        </w:rPr>
        <w:t xml:space="preserve">   * The legal competence of a party to perform legally binding actions.</w:t>
      </w:r>
    </w:p>
    <w:p>
      <w:pPr>
        <w:spacing w:before="0" w:after="80" w:line="276" w:lineRule="auto"/>
      </w:pPr>
      <w:r>
        <w:rPr>
          <w:rFonts w:ascii="Arial" w:hAnsi="Arial"/>
          <w:color w:val="1E293B"/>
          <w:sz w:val="20"/>
        </w:rPr>
        <w:t xml:space="preserve">   * Pursuant to Articles 1329 and 1330 of the Indonesian Civil Code, legally incompetent (*onbekwaam*) persons include:</w:t>
      </w:r>
    </w:p>
    <w:p>
      <w:pPr>
        <w:spacing w:before="0" w:after="80" w:line="276" w:lineRule="auto"/>
      </w:pPr>
      <w:r>
        <w:rPr>
          <w:rFonts w:ascii="Arial" w:hAnsi="Arial"/>
          <w:color w:val="1E293B"/>
          <w:sz w:val="20"/>
        </w:rPr>
        <w:t xml:space="preserve">     * Minors (harmonized to under 18 years of age pursuant to Article 330 of the Civil Code *in conjunction with* Law No. 1/1974 on Marriage as amended by Law No. 16/2019, or Law No. 35/2014 on Child Protection);</w:t>
      </w:r>
    </w:p>
    <w:p>
      <w:pPr>
        <w:spacing w:before="0" w:after="80" w:line="276" w:lineRule="auto"/>
      </w:pPr>
      <w:r>
        <w:rPr>
          <w:rFonts w:ascii="Arial" w:hAnsi="Arial"/>
          <w:color w:val="1E293B"/>
          <w:sz w:val="20"/>
        </w:rPr>
        <w:t xml:space="preserve">     * Individuals placed under conservatorship/guardianship (*curatele*);</w:t>
      </w:r>
    </w:p>
    <w:p>
      <w:pPr>
        <w:spacing w:before="0" w:after="80" w:line="276" w:lineRule="auto"/>
      </w:pPr>
      <w:r>
        <w:rPr>
          <w:rFonts w:ascii="Arial" w:hAnsi="Arial"/>
          <w:color w:val="1E293B"/>
          <w:sz w:val="20"/>
        </w:rPr>
        <w:t xml:space="preserve">     * Married women (this restriction was expressly repealed and rendered void by Supreme Court Circular Letter/SEMA No. 3 of 1963 and Article 31 of the Marriage Law).</w:t>
      </w:r>
    </w:p>
    <w:p>
      <w:pPr>
        <w:spacing w:before="0" w:after="80"/>
      </w:pPr>
    </w:p>
    <w:p>
      <w:pPr>
        <w:spacing w:before="160" w:after="80" w:line="276" w:lineRule="auto"/>
      </w:pPr>
      <w:r>
        <w:rPr>
          <w:rFonts w:ascii="Arial" w:hAnsi="Arial"/>
          <w:b/>
          <w:color w:val="0F172A"/>
          <w:sz w:val="21"/>
        </w:rPr>
        <w:t>##### B. Objective Conditions (Pertaining to the Object of the Contract)</w:t>
      </w:r>
    </w:p>
    <w:p>
      <w:pPr>
        <w:spacing w:before="0" w:after="80" w:line="276" w:lineRule="auto"/>
      </w:pPr>
      <w:r>
        <w:rPr>
          <w:rFonts w:ascii="Arial" w:hAnsi="Arial"/>
          <w:color w:val="1E293B"/>
          <w:sz w:val="20"/>
        </w:rPr>
        <w:t>3. **Specific Subject Matter (*Bepaald Onderwerp*) (Item 3):**</w:t>
      </w:r>
    </w:p>
    <w:p>
      <w:pPr>
        <w:spacing w:before="0" w:after="80" w:line="276" w:lineRule="auto"/>
      </w:pPr>
      <w:r>
        <w:rPr>
          <w:rFonts w:ascii="Arial" w:hAnsi="Arial"/>
          <w:color w:val="1E293B"/>
          <w:sz w:val="20"/>
        </w:rPr>
        <w:t xml:space="preserve">   * The object of the contract must be determinable in terms of type and quantity or capable of future quantification (Articles 1332 and 1333 of the Civil Code). Such object must be commercially traded goods or lawful services (*in de handel*).</w:t>
      </w:r>
    </w:p>
    <w:p>
      <w:pPr>
        <w:spacing w:before="0" w:after="80" w:line="276" w:lineRule="auto"/>
      </w:pPr>
      <w:r>
        <w:rPr>
          <w:rFonts w:ascii="Arial" w:hAnsi="Arial"/>
          <w:color w:val="1E293B"/>
          <w:sz w:val="20"/>
        </w:rPr>
        <w:t>4. **Lawful Cause (*Geoorloofde Oorzaak*) (Item 4):**</w:t>
      </w:r>
    </w:p>
    <w:p>
      <w:pPr>
        <w:spacing w:before="0" w:after="80" w:line="276" w:lineRule="auto"/>
      </w:pPr>
      <w:r>
        <w:rPr>
          <w:rFonts w:ascii="Arial" w:hAnsi="Arial"/>
          <w:color w:val="1E293B"/>
          <w:sz w:val="20"/>
        </w:rPr>
        <w:t xml:space="preserve">   * The underlying consideration, purpose, or objective of the agreement must not run contrary to statutory law, public policy (*openbare orde*), or good morals (*goede zeden*) (Articles 1335 and 1337 of the Civil Code).</w:t>
      </w:r>
    </w:p>
    <w:p>
      <w:pPr>
        <w:spacing w:before="0" w:after="80"/>
      </w:pPr>
    </w:p>
    <w:p>
      <w:pPr>
        <w:spacing w:before="0" w:after="80" w:line="276" w:lineRule="auto"/>
      </w:pPr>
      <w:r>
        <w:rPr>
          <w:rFonts w:ascii="Arial" w:hAnsi="Arial"/>
          <w:color w:val="1E293B"/>
          <w:sz w:val="20"/>
        </w:rPr>
        <w:t>---</w:t>
      </w:r>
    </w:p>
    <w:p>
      <w:pPr>
        <w:spacing w:before="0" w:after="80"/>
      </w:pPr>
    </w:p>
    <w:p>
      <w:pPr>
        <w:spacing w:before="160" w:after="80" w:line="276" w:lineRule="auto"/>
      </w:pPr>
      <w:r>
        <w:rPr>
          <w:rFonts w:ascii="Arial" w:hAnsi="Arial"/>
          <w:b/>
          <w:color w:val="0F172A"/>
          <w:sz w:val="21"/>
        </w:rPr>
        <w:t>#### 3. Legal Consequences of Non-Compliance</w:t>
      </w:r>
    </w:p>
    <w:p>
      <w:pPr>
        <w:spacing w:before="0" w:after="80"/>
      </w:pPr>
    </w:p>
    <w:p>
      <w:pPr>
        <w:spacing w:before="0" w:after="80" w:line="276" w:lineRule="auto"/>
      </w:pPr>
      <w:r>
        <w:rPr>
          <w:rFonts w:ascii="Arial" w:hAnsi="Arial"/>
          <w:color w:val="1E293B"/>
          <w:sz w:val="20"/>
        </w:rPr>
        <w:t>* **Breach of Subjective Conditions (Items 1 &amp; 2):**</w:t>
      </w:r>
    </w:p>
    <w:p>
      <w:pPr>
        <w:spacing w:before="0" w:after="80" w:line="276" w:lineRule="auto"/>
      </w:pPr>
      <w:r>
        <w:rPr>
          <w:rFonts w:ascii="Arial" w:hAnsi="Arial"/>
          <w:color w:val="1E293B"/>
          <w:sz w:val="20"/>
        </w:rPr>
        <w:t xml:space="preserve">  Renders the contract **Voidable (*Dapat Dibatalkan* / *Vernietigbaar*)**. The contract remains legally valid and binding upon the parties until successfully annulled by a competent court upon a motion for rescission (*actie tot vernietiging*) submitted by the aggrieved or legally incapacitated party (subject to a 5-year statute of limitations pursuant to Article 1454 of the Civil Code).</w:t>
      </w:r>
    </w:p>
    <w:p>
      <w:pPr>
        <w:spacing w:before="0" w:after="80" w:line="276" w:lineRule="auto"/>
      </w:pPr>
      <w:r>
        <w:rPr>
          <w:rFonts w:ascii="Arial" w:hAnsi="Arial"/>
          <w:color w:val="1E293B"/>
          <w:sz w:val="20"/>
        </w:rPr>
        <w:t>* **Breach of Objective Conditions (Items 3 &amp; 4):**</w:t>
      </w:r>
    </w:p>
    <w:p>
      <w:pPr>
        <w:spacing w:before="0" w:after="80" w:line="276" w:lineRule="auto"/>
      </w:pPr>
      <w:r>
        <w:rPr>
          <w:rFonts w:ascii="Arial" w:hAnsi="Arial"/>
          <w:color w:val="1E293B"/>
          <w:sz w:val="20"/>
        </w:rPr>
        <w:t xml:space="preserve">  Renders the contract **Null and Void *ab initio* (*Batal Demi Hukum* / *Nietig van rechtswege*)**. The contract is legally deemed to have never existed from inception. Consequently, no legal rights or obligations arise, the terms are completely unenforceable, and the parties must be restored to their original pre-contractual position (*restitutio in integrum*).</w:t>
      </w:r>
    </w:p>
    <w:p>
      <w:pPr>
        <w:spacing w:before="0" w:after="80"/>
      </w:pPr>
    </w:p>
    <w:p>
      <w:pPr>
        <w:spacing w:before="0" w:after="80" w:line="276" w:lineRule="auto"/>
      </w:pPr>
      <w:r>
        <w:rPr>
          <w:rFonts w:ascii="Arial" w:hAnsi="Arial"/>
          <w:color w:val="1E293B"/>
          <w:sz w:val="20"/>
        </w:rPr>
        <w:t>---</w:t>
      </w:r>
    </w:p>
    <w:p>
      <w:pPr>
        <w:spacing w:before="0" w:after="80"/>
      </w:pPr>
    </w:p>
    <w:p>
      <w:pPr>
        <w:spacing w:before="160" w:after="80" w:line="276" w:lineRule="auto"/>
      </w:pPr>
      <w:r>
        <w:rPr>
          <w:rFonts w:ascii="Arial" w:hAnsi="Arial"/>
          <w:b/>
          <w:color w:val="0F172A"/>
          <w:sz w:val="21"/>
        </w:rPr>
        <w:t>#### 4. Practical Contractual Compliance Guidance</w:t>
      </w:r>
    </w:p>
    <w:p>
      <w:pPr>
        <w:spacing w:before="0" w:after="80" w:line="276" w:lineRule="auto"/>
      </w:pPr>
      <w:r>
        <w:rPr>
          <w:rFonts w:ascii="Arial" w:hAnsi="Arial"/>
          <w:color w:val="1E293B"/>
          <w:sz w:val="20"/>
        </w:rPr>
        <w:t>1. **Verification of Authority and Capacity:** Verify corporate authority (e.g., Board of Directors' representation rights pursuant to the Articles of Association and the Indonesian Company Law No. 40/2007, necessary Board of Commissioners/GMS approvals, or valid Powers of Attorney).</w:t>
      </w:r>
    </w:p>
    <w:p>
      <w:pPr>
        <w:spacing w:before="0" w:after="80" w:line="276" w:lineRule="auto"/>
      </w:pPr>
      <w:r>
        <w:rPr>
          <w:rFonts w:ascii="Arial" w:hAnsi="Arial"/>
          <w:color w:val="1E293B"/>
          <w:sz w:val="20"/>
        </w:rPr>
        <w:t>2. **Mitigating Defects of Consent:** Retain comprehensive audit trails of negotiations and formal minutes, and integrate an "Entire Agreement" clause coupled with representations confirming that the execution is free from duress or misrepresentation.</w:t>
      </w:r>
    </w:p>
    <w:p>
      <w:pPr>
        <w:spacing w:before="0" w:after="80" w:line="276" w:lineRule="auto"/>
      </w:pPr>
      <w:r>
        <w:rPr>
          <w:rFonts w:ascii="Arial" w:hAnsi="Arial"/>
          <w:color w:val="1E293B"/>
          <w:sz w:val="20"/>
        </w:rPr>
        <w:t>3. **Precise Object Definition:** Clearly define the deliverables, scope of work, consideration amounts, timelines, and technical metrics to avert disputes grounded in vagueness or indeterminability of the subject matter.</w:t>
      </w:r>
    </w:p>
    <w:p>
      <w:pPr>
        <w:spacing w:before="0" w:after="80" w:line="276" w:lineRule="auto"/>
      </w:pPr>
      <w:r>
        <w:rPr>
          <w:rFonts w:ascii="Arial" w:hAnsi="Arial"/>
          <w:color w:val="1E293B"/>
          <w:sz w:val="20"/>
        </w:rPr>
        <w:t>4. **Harmonization with Mandatory Sectoral Laws:** Verify that the agreement complies with mandatory public policies, including the mandatory use of the Indonesian language (Law No. 24/2009 *in conjunction with* Presidential Regulation No. 63/2019) and the mandatory settlement of domestic transactions in Indonesian Rupiah (Law No. 7/2011 on Currency).</w:t>
      </w:r>
    </w:p>
    <w:p>
      <w:pPr>
        <w:spacing w:before="400" w:after="0"/>
      </w:pPr>
      <w:r>
        <w:rPr>
          <w:rFonts w:ascii="Arial" w:hAnsi="Arial"/>
          <w:i/>
          <w:color w:val="94A3B8"/>
          <w:sz w:val="16"/>
        </w:rPr>
        <w:t>Disclaimer: Generated by hukum.live for educational and statutory guidance purposes.</w:t>
      </w:r>
    </w:p>
    <w:sectPr w:rsidR="00FC693F" w:rsidRPr="0006063C"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