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"Article 1320"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Dasar Hukum dan Teks Otentik Statuta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Ketentuan mengenai syarat sahnya suatu perjanjian diatur dalam **Kitab Undang-Undang Hukum Perdata (KUHPerdata / *Burgerlijk Wetboek*)**, Buku III tentang Perikatan, Bab II, Bagian Kedua, **Pasal 1320**: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*"Supaya terjadi persetujuan yang sah, perlu dipenuhi empat syarat:*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*kesepakatan mereka yang mengikatkan dirinya;*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*kecakapan untuk membuat suatu perikatan;*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*suatu pokok persoalan tertentu;*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*suatu sebab yang tidak terlarang."*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Dekonstruksi Unsur dan Klasifikasi Yuridis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Doktrin hukum perdata Indonesia mengklasifikasikan keempat syarat tersebut ke dalam dua kategori pokok: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Syarat Subjektif (Menyangkut Subjek Perjanjian)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**Kesepakatan Para Pihak (*Consensus / Toestemming*)**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Persesuaian kehendak bebas tanpa adanya cacat kehendak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Terkait:** Pasal 1321 KUHPerdata menyatakan bahwa kesepakatan menjadi tidak sah apabila diberikan karena: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Kekhilafan/kesesatan (*dwaling*, Pasal 1322);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Paksaan (*dwang*, Pasal 1323–1325);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Penipuan (*bedrog*, Pasal 1328).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**Konsekuensi Yuridis:** Pelanggaran terhadap syarat kesepakatan mengakibatkan perjanjian **dapat dibatalkan (*vernietigbaar / voidable*)**. Perjanjian tetap sah dan mengikat para pihak hingga adanya putusan hakim berkekuatan hukum tetap (*inkracht*) yang membatalkannya melalui gugatan pembatalan (tenggang kedaluwarsa 5 tahun berdasarkan Pasal 1454 KUHPerdata).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**Kecakapan untuk Membuat Perikatan (*Bekwaamheid*)**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Kemampuan hukum subjek hukum untuk bertindak melakukan perbuatan hukum secara mandiri.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Terkait:** Pasal 1329 KUHPerdata menetapkan asas umum bahwa setiap orang adalah cakap kecuali undang-undang menyatakan sebaliknya. Pasal 1330 KUHPerdata menentukan pihak yang tidak cakap: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Anak yang belum dewasa (di bawah 21 tahun dan belum menikah, diselaraskan dengan Pasal 330 KUHPerdata jo. Putusan Mahkamah Agung No. 477 K/Sip/1983);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Orang yang ditaruh di bawah pengampuan (*curatele* / kuratela).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*(Catatan: Ketentuan Pasal 1330 ayat (3) terkait wanita bersuami telah dinyatakan tidak berlaku berdasarkan Surat Edaran Mahkamah Agung No. 3 Tahun 1963 dan Pasal 31 UU No. 1 Tahun 1974 tentang Perkawinan).*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**Konsekuensi Yuridis:** Perjanjian **dapat dibatalkan (*vernietigbaar*)** oleh pihak yang tidak cakap atau wakil hukumnya.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Syarat Objektif (Menyangkut Objek Perjanjian)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**Suatu Pokok Persoalan Tertentu (*Bepaalde Onderwerp*)**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Objek prestasi perjanjian harus dapat ditentukan jenisnya dan dapat diperdagangkan (*in de handel*).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Terkait:** Pasal 1332–1334 KUHPerdata mengatur bahwa barang yang menjadi objek persetujuan setidak-tidaknya harus ditentukan jenisnya (*bepaaldbaar*), sedangkan jumlahnya dapat ditentukan di kemudian hari asalkan dapat dihitung.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**Konsekuensi Yuridis:** Pelanggaran terhadap syarat ini berakibat perjanjian **batal demi hukum (*nietig / null and void ab initio*)**. Perjanjian dianggap tidak pernah ada sejak awal, dan para pihak dikembalikan ke status *status quo ante*.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**Suatu Sebab yang Tidak Terlarang (*Geoorloofde Oorzaak / Lawful Cause*)**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**Definisi:** Kausa atau tujuan dari perjanjian tidak boleh bertentangan dengan undang-undang, kesusilaan baik, atau ketertiban umum.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**Pasal Terkait:**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Pasal 1335 KUHPerdata: Suatu persetujuan tanpa sebab, atau dibuat berdasarkan sebab yang palsu atau terlarang, tidak mempunyai kekuatan hukum.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Pasal 1337 KUHPerdata: Suatu sebab adalah terlarang apabila dilarang oleh undang-undang, atau berlawanan dengan kesusilaan baik atau ketertiban umum.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**Konsekuensi Yuridis:** Perjanjian **batal demi hukum (*nietig / null and void ab initio*)**. Tidak ada hak atau kewajiban yang timbul dan tidak dapat dipaksakan pelaksanaannya di muka pengadilan.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Keterkaitan dengan Peraturan Perundang-undangan Kontemporer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* **Undang-Undang Perseroan Terbatas (UU No. 40/2007 jo. UU No. 6/2023):**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Kecakapan badan hukum diwakili oleh Direksi sesuai kewenangannya dalam Anggaran Dasar (Pasal 98 UU PT). Kontrak yang ditandatangani pihak yang melampaui kewenangan (*ultra vires*) berpotensi cacat subjek/kecakapan perwakilan.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* **Undang-Undang Informasi dan Transaksi Elektronik (UU No. 11/2008 jo. UU No. 1/2024):**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Pasal 5 jo. Pasal 17 menegaskan bahwa transaksi dan kontrak elektronik mengikat secara sah sepanjang memenuhi syarat sahnya perjanjian dalam Pasal 1320 KUHPerdata.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Panduan Kepatuhan Praktis (*Compliance Checklist*) bagi Praktisi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1. **Verifikasi Legalitas &amp; Otoritas Penandatangan (*Capacity Due Diligence*):**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Periksa identitas perorangan (usia KTP/paspor, status perkawinan jika memerlukan persetujuan pasangan atas harta bersama berdasarkan Pasal 36 UU Perkawinan).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Periksa Anggaran Dasar, akta penyesuaian susunan direksi terakhir, dan izin/persetujuan organ perseroan (RUPS/Dewan Komisaris) untuk korporasi.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2. **Kejelasan Objek Prestasi (*Drafting Specificity*):**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Uraikan spesifikasi barang/jasa, kuantitas, harga, dan jangka waktu secara definitif guna menghindari dalil kekaburan objek (*obscuur libel* atau ketidaktentuan objek).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3. **Klausul Keterpisahan (*Severability Clause*):**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Cantumkan klausul keterpisahan agar jika salah satu klausul dinyatakan batal demi hukum karena bertentangan dengan ketertiban umum, ketentuan lainnya dalam perjanjian tetap sah dan mengikat.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Statutory Basis and Authentic Text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The fundamental requirements for the legal validity of a contract under Indonesian law are codified in the **Indonesian Civil Code (*Kitab Undang-Undang Hukum Perdata* / KUHPerdata - *Burgerlijk Wetboek*)**, Book III on Obligations, Chapter II, Part Two, **Article 1320**: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*"In order to be valid, an agreement must satisfy four conditions:*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1. *the consent of the individuals who bind themselves;*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2. *the capacity to conclude an obligation;*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3. *a specific subject matter;*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4. *a lawful cause."*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Legal Deconstruction and Categorization of Elements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Indonesian civil jurisprudence categorizes these four criteria into two distinct classes based on the nature of the requirement: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A. Subjective Conditions (Pertaining to the Contracting Parties)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**Consent of the Parties (*Consensus / Toestemming*)**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A mutual meeting of the minds freely given without any defect of will (*wilsgebreken*).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**Related Provisions:** Under Article 1321 of the Indonesian Civil Code, consent is rendered invalid if obtained through: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Error or mistake (*dwaling*, Article 1322);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Duress or coercion (*dwang*, Articles 1323–1325);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Fraud (*bedrog*, Article 1328).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**Legal Consequence:** Violation of the consent requirement renders the agreement **voidable (*vernietigbaar / dapat dibatalkan*)**. The contract remains legally binding and enforceable until a court of competent jurisdiction issues a final and binding judgment (*inkracht van gewijsde*) rescinding it pursuant to an action for annulment (subject to a 5-year statute of limitations under Article 1454 of the Indonesian Civil Code).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**Legal Capacity to Contract (*Bekwaamheid*)**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The legal competence of a legal person or entity to perform binding legal acts independently.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**Related Provisions:** Article 1329 of the Indonesian Civil Code establishes the presumption of general capacity. Article 1330 defines incapable persons as: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Minors (individuals under 21 years of age and not yet married, aligned with Article 330 KUHPerdata jo. Supreme Court Decision No. 477 K/Sip/1983);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Individuals placed under legal guardianship/conservatorship (*curatele*).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*(Note: Article 1330 paragraph (3) regarding married women was revoked pursuant to Supreme Court Circular Letter No. 3/1963 and Article 31 of Law No. 1/1974 on Marriage).*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**Legal Consequence:** The contract is **voidable (*vernietigbaar*)** at the petition of the legally incapacitated party or their lawful representative.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##### B. Objective Conditions (Pertaining to the Subject Matter and Purpose)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 Specific Subject Matter (*Bepaalde Onderwerp*)**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The performance or object of the contract must be determinable in its nature, kind, and capable of being traded in commerce (*in de handel*).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**Related Provisions:** Articles 1332–1334 of the Indonesian Civil Code establish that the goods forming the subject matter must at least be determinable as to species (*bepaaldbaar*), while the quantity may be determined at a later stage provided it can be calculated.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**Legal Consequence:** Failure to satisfy this condition renders the agreement **null and void ab initio (*nietig / batal demi hukum*)**. The contract is legally non-existent from inception, and the parties are restored to their *status quo ante*.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 Lawful Cause (*Geoorloofde Oorzaak / Legal Purpose*)**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**Definition:** The consideration, cause, or underlying purpose of the contract must not violate statutory law, public order, or good morals.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**Related Provisions:**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Article 1335 of the Indonesian Civil Code: A contract without a cause, or formed under a false or prohibited cause, has no legal effect.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  * Article 1337 of the Indonesian Civil Code: A cause is prohibited if it is prohibited by law, or if it is contrary to good morals (*goede zeden*) or public order (*openbare orde*).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**Legal Consequence:** The agreement is **null and void ab initio (*nietig / batal demi hukum*)**. No enforceable rights or obligations arise, and specific performance cannot be ordered by a court.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Interplay with Contemporary Indonesian Legislation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* **Company Law (Law No. 40/2007 as amended by Law No. 6/2023):**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The legal capacity of a limited liability company (*Perseroan Terbatas* / PT) is exercised through its Board of Directors in accordance with its Articles of Association (Article 98). Contracts executed by individuals acting *ultra vires* (exceeding corporate powers or lacking required approvals) incur defects in signatory capacity.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* **Electronic Information and Transactions (EIT) Law (Law No. 11/2008 as amended by Law No. 1/2024):** 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Articles 5 and 17 recognize electronic contracts as legally valid and binding provided they satisfy the four criteria stipulated under Article 1320 of the Indonesian Civil Code.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Practical Legal Compliance &amp; Risk Mitigation Guidance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**Verification of Authority and Capacity (Capacity Due Diligence):**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For individuals: Verify identification, age, and marital status (spousal consent for disposal of marital joint assets under Article 36 of Law No. 1/1974).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For corporate entities: Verify the latest Articles of Association, the latest registered deed of director appointment, and mandatory internal approvals (Board of Commissioners or General Meeting of Shareholders approvals).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**Definiteness in Contract Drafting:**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Clearly define deliverables, specifications, pricing mechanisms, and milestone schedules to preclude counterclaims alleging vagueness or indeterminability (*obscuur libel*).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**Inclusion of a Severability Clause:**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Incorporate a robust severability clause to preserve the enforceability of remaining provisions should any specific clause be declared null and void under Article 1337 of the Indonesian Civil Code.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