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 of the Indonesian Civil Code"</w:t>
      </w:r>
    </w:p>
    <w:p>
      <w:pPr>
        <w:spacing w:before="0" w:after="360"/>
        <w:jc w:val="center"/>
      </w:pPr>
      <w:r>
        <w:rPr>
          <w:rFonts w:ascii="Arial" w:hAnsi="Arial"/>
          <w:color w:val="64748B"/>
          <w:sz w:val="17"/>
        </w:rPr>
        <w:t>CATEGORY: CORPORATE &amp; INVESTMENT | DUAL LANGUAGE: ID ↔ MANDARIN CHINESE (中文)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dan Teks Otentik Statuta</w:t>
      </w:r>
    </w:p>
    <w:p>
      <w:pPr>
        <w:spacing w:before="0" w:after="80" w:line="276" w:lineRule="auto"/>
      </w:pPr>
      <w:r>
        <w:rPr>
          <w:rFonts w:ascii="Arial" w:hAnsi="Arial"/>
          <w:color w:val="1E293B"/>
          <w:sz w:val="20"/>
        </w:rPr>
        <w:t>Ketentuan mengenai syarat sahnya suatu perjanjian diatur dalam **Kitab Undang-Undang Hukum Perdata (KUHPerdata) / Burgerlijk Wetboek (BW)**, Buku III tentang Perikatan, Bab II tentang Perikatan-Perikatan yang Lahir dari Kontrak atau Persetujuan.</w:t>
      </w:r>
    </w:p>
    <w:p>
      <w:pPr>
        <w:spacing w:before="0" w:after="80"/>
      </w:pPr>
    </w:p>
    <w:p>
      <w:pPr>
        <w:spacing w:before="0" w:after="80" w:line="276" w:lineRule="auto"/>
      </w:pPr>
      <w:r>
        <w:rPr>
          <w:rFonts w:ascii="Arial" w:hAnsi="Arial"/>
          <w:color w:val="1E293B"/>
          <w:sz w:val="20"/>
        </w:rPr>
        <w:t>**Pasal 1320 KUHPerdata merumuskan:**</w:t>
      </w:r>
    </w:p>
    <w:p>
      <w:pPr>
        <w:spacing w:before="0" w:after="80" w:line="276" w:lineRule="auto"/>
      </w:pPr>
      <w:r>
        <w:rPr>
          <w:rFonts w:ascii="Arial" w:hAnsi="Arial"/>
          <w:color w:val="1E293B"/>
          <w:sz w:val="20"/>
        </w:rPr>
        <w:t>&gt; *"Supaya terjadi persetujuan yang sah, perlu dipenuhi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Klasifikasi dan Analisis Yuridis 4 (Empat) Syarat Sahnya Kontrak</w:t>
      </w:r>
    </w:p>
    <w:p>
      <w:pPr>
        <w:spacing w:before="0" w:after="80"/>
      </w:pPr>
    </w:p>
    <w:p>
      <w:pPr>
        <w:spacing w:before="0" w:after="80" w:line="276" w:lineRule="auto"/>
      </w:pPr>
      <w:r>
        <w:rPr>
          <w:rFonts w:ascii="Arial" w:hAnsi="Arial"/>
          <w:color w:val="1E293B"/>
          <w:sz w:val="20"/>
        </w:rPr>
        <w:t>Secara doktriner dan yurisprudensi hukum perdata Indonesia, keempat syarat tersebut diklasifikasikan ke dalam dua kategori dengan konsekuensi hukum yang berbeda secara fundamental:</w:t>
      </w:r>
    </w:p>
    <w:p>
      <w:pPr>
        <w:spacing w:before="0" w:after="80"/>
      </w:pPr>
    </w:p>
    <w:p>
      <w:pPr>
        <w:spacing w:before="160" w:after="80" w:line="276" w:lineRule="auto"/>
      </w:pPr>
      <w:r>
        <w:rPr>
          <w:rFonts w:ascii="Arial" w:hAnsi="Arial"/>
          <w:b/>
          <w:color w:val="0F172A"/>
          <w:sz w:val="21"/>
        </w:rPr>
        <w:t>##### A. Syarat Subjektif (Menyangkut Para Pihak / Subjek Hukum)</w:t>
      </w:r>
    </w:p>
    <w:p>
      <w:pPr>
        <w:spacing w:before="0" w:after="80" w:line="276" w:lineRule="auto"/>
      </w:pPr>
      <w:r>
        <w:rPr>
          <w:rFonts w:ascii="Arial" w:hAnsi="Arial"/>
          <w:color w:val="1E293B"/>
          <w:sz w:val="20"/>
        </w:rPr>
        <w:t>1. **Kesepakatan Para Pihak (*Consensus / Toestemming*)**</w:t>
      </w:r>
    </w:p>
    <w:p>
      <w:pPr>
        <w:spacing w:before="0" w:after="80" w:line="276" w:lineRule="auto"/>
      </w:pPr>
      <w:r>
        <w:rPr>
          <w:rFonts w:ascii="Arial" w:hAnsi="Arial"/>
          <w:color w:val="1E293B"/>
          <w:sz w:val="20"/>
        </w:rPr>
        <w:t xml:space="preserve">   * Mengharuskan adanya persesuaian kehendak bebas antara para pihak tanpa adanya cacat kehendak (*wilsgebrek*).</w:t>
      </w:r>
    </w:p>
    <w:p>
      <w:pPr>
        <w:spacing w:before="0" w:after="80" w:line="276" w:lineRule="auto"/>
      </w:pPr>
      <w:r>
        <w:rPr>
          <w:rFonts w:ascii="Arial" w:hAnsi="Arial"/>
          <w:color w:val="1E293B"/>
          <w:sz w:val="20"/>
        </w:rPr>
        <w:t xml:space="preserve">   * Berdasarkan **Pasal 1321 KUHPerdata**, kesepakatan menjadi tidak sah apabila diberikan karena:</w:t>
      </w:r>
    </w:p>
    <w:p>
      <w:pPr>
        <w:spacing w:before="0" w:after="80" w:line="276" w:lineRule="auto"/>
      </w:pPr>
      <w:r>
        <w:rPr>
          <w:rFonts w:ascii="Arial" w:hAnsi="Arial"/>
          <w:color w:val="1E293B"/>
          <w:sz w:val="20"/>
        </w:rPr>
        <w:t xml:space="preserve">     * Kekhilafan/kesesatan (*dwaling*);</w:t>
      </w:r>
    </w:p>
    <w:p>
      <w:pPr>
        <w:spacing w:before="0" w:after="80" w:line="276" w:lineRule="auto"/>
      </w:pPr>
      <w:r>
        <w:rPr>
          <w:rFonts w:ascii="Arial" w:hAnsi="Arial"/>
          <w:color w:val="1E293B"/>
          <w:sz w:val="20"/>
        </w:rPr>
        <w:t xml:space="preserve">     * Paksaan (*dwang*); atau</w:t>
      </w:r>
    </w:p>
    <w:p>
      <w:pPr>
        <w:spacing w:before="0" w:after="80" w:line="276" w:lineRule="auto"/>
      </w:pPr>
      <w:r>
        <w:rPr>
          <w:rFonts w:ascii="Arial" w:hAnsi="Arial"/>
          <w:color w:val="1E293B"/>
          <w:sz w:val="20"/>
        </w:rPr>
        <w:t xml:space="preserve">     * Penipuan (*bedrog*).</w:t>
      </w:r>
    </w:p>
    <w:p>
      <w:pPr>
        <w:spacing w:before="0" w:after="80" w:line="276" w:lineRule="auto"/>
      </w:pPr>
      <w:r>
        <w:rPr>
          <w:rFonts w:ascii="Arial" w:hAnsi="Arial"/>
          <w:color w:val="1E293B"/>
          <w:sz w:val="20"/>
        </w:rPr>
        <w:t>2. **Kecakapan Bertindak (*Bekwaamheid*)**</w:t>
      </w:r>
    </w:p>
    <w:p>
      <w:pPr>
        <w:spacing w:before="0" w:after="80" w:line="276" w:lineRule="auto"/>
      </w:pPr>
      <w:r>
        <w:rPr>
          <w:rFonts w:ascii="Arial" w:hAnsi="Arial"/>
          <w:color w:val="1E293B"/>
          <w:sz w:val="20"/>
        </w:rPr>
        <w:t xml:space="preserve">   * Setiap orang dianggap cakap hukum untuk membuat perikatan, kecuali undang-undang menyatakan sebaliknya.</w:t>
      </w:r>
    </w:p>
    <w:p>
      <w:pPr>
        <w:spacing w:before="0" w:after="80" w:line="276" w:lineRule="auto"/>
      </w:pPr>
      <w:r>
        <w:rPr>
          <w:rFonts w:ascii="Arial" w:hAnsi="Arial"/>
          <w:color w:val="1E293B"/>
          <w:sz w:val="20"/>
        </w:rPr>
        <w:t xml:space="preserve">   * Berdasarkan **Pasal 1330 KUHPerdata**, pihak-pihak yang tidak cakap (*onbekwaam*) adalah:</w:t>
      </w:r>
    </w:p>
    <w:p>
      <w:pPr>
        <w:spacing w:before="0" w:after="80" w:line="276" w:lineRule="auto"/>
      </w:pPr>
      <w:r>
        <w:rPr>
          <w:rFonts w:ascii="Arial" w:hAnsi="Arial"/>
          <w:color w:val="1E293B"/>
          <w:sz w:val="20"/>
        </w:rPr>
        <w:t xml:space="preserve">     * Orang yang belum dewasa (merujuk batas usia dewasa menurut ketentuan perundang-undangan terkait, misal Pasal 330 KUHPerdata jo. UU No. 35/2014 jo. Putusan MA No. 477 K/Sip/1983);</w:t>
      </w:r>
    </w:p>
    <w:p>
      <w:pPr>
        <w:spacing w:before="0" w:after="80" w:line="276" w:lineRule="auto"/>
      </w:pPr>
      <w:r>
        <w:rPr>
          <w:rFonts w:ascii="Arial" w:hAnsi="Arial"/>
          <w:color w:val="1E293B"/>
          <w:sz w:val="20"/>
        </w:rPr>
        <w:t xml:space="preserve">     * Orang yang ditaruh di bawah pengampuan (*curatele*);</w:t>
      </w:r>
    </w:p>
    <w:p>
      <w:pPr>
        <w:spacing w:before="0" w:after="80" w:line="276" w:lineRule="auto"/>
      </w:pPr>
      <w:r>
        <w:rPr>
          <w:rFonts w:ascii="Arial" w:hAnsi="Arial"/>
          <w:color w:val="1E293B"/>
          <w:sz w:val="20"/>
        </w:rPr>
        <w:t xml:space="preserve">     * Orang-orang perempuan dalam hal yang ditetapkan undang-undang (ketentuan ini telah dicabut/tidak berlaku lagi berdasarkan SEMA No. 3 Tahun 1963 dan Pasal 31 UU No. 1 Tahun 1974 tentang Perkawinan).</w:t>
      </w:r>
    </w:p>
    <w:p>
      <w:pPr>
        <w:spacing w:before="0" w:after="80" w:line="276" w:lineRule="auto"/>
      </w:pPr>
      <w:r>
        <w:rPr>
          <w:rFonts w:ascii="Arial" w:hAnsi="Arial"/>
          <w:color w:val="1E293B"/>
          <w:sz w:val="20"/>
        </w:rPr>
        <w:t xml:space="preserve">   * Bagi badan hukum (*legal entity*), kecakapan direpresentasikan oleh organ yang berwenang bertindak berdasarkan Anggaran Dasar perseroan (UU No. 40 Tahun 2007 tentang Perseroan Terbatas / UU No. 6 Tahun 2023).</w:t>
      </w:r>
    </w:p>
    <w:p>
      <w:pPr>
        <w:spacing w:before="0" w:after="80"/>
      </w:pPr>
    </w:p>
    <w:p>
      <w:pPr>
        <w:spacing w:before="0" w:after="80" w:line="276" w:lineRule="auto"/>
      </w:pPr>
      <w:r>
        <w:rPr>
          <w:rFonts w:ascii="Arial" w:hAnsi="Arial"/>
          <w:color w:val="1E293B"/>
          <w:sz w:val="20"/>
        </w:rPr>
        <w:t>*Konsekuensi Hukum Pelanggaran Syarat Subjektif:*</w:t>
      </w:r>
    </w:p>
    <w:p>
      <w:pPr>
        <w:spacing w:before="0" w:after="80" w:line="276" w:lineRule="auto"/>
      </w:pPr>
      <w:r>
        <w:rPr>
          <w:rFonts w:ascii="Arial" w:hAnsi="Arial"/>
          <w:color w:val="1E293B"/>
          <w:sz w:val="20"/>
        </w:rPr>
        <w:t>Apabila syarat kesepakatan atau kecakapan tidak terpenuhi, perjanjian tersebut **dapat dibatalkan (*vernietigbaar / voidable*)**. Perjanjian tetap sah dan mengikat para pihak selama belum dibatalkan oleh Hakim atas permohonan pihak yang tidak cakap atau pihak yang kesepakatannya cacat (Pasal 1451-1456 KUHPerdata).</w:t>
      </w:r>
    </w:p>
    <w:p>
      <w:pPr>
        <w:spacing w:before="0" w:after="80"/>
      </w:pPr>
    </w:p>
    <w:p>
      <w:pPr>
        <w:spacing w:before="160" w:after="80" w:line="276" w:lineRule="auto"/>
      </w:pPr>
      <w:r>
        <w:rPr>
          <w:rFonts w:ascii="Arial" w:hAnsi="Arial"/>
          <w:b/>
          <w:color w:val="0F172A"/>
          <w:sz w:val="21"/>
        </w:rPr>
        <w:t>##### B. Syarat Objektif (Menyangkut Objek / Prestasi Perjanjian)</w:t>
      </w:r>
    </w:p>
    <w:p>
      <w:pPr>
        <w:spacing w:before="0" w:after="80" w:line="276" w:lineRule="auto"/>
      </w:pPr>
      <w:r>
        <w:rPr>
          <w:rFonts w:ascii="Arial" w:hAnsi="Arial"/>
          <w:color w:val="1E293B"/>
          <w:sz w:val="20"/>
        </w:rPr>
        <w:t>3. **Suatu Pokok Persoalan Tertentu (*Bepaald Onderwerp*)**</w:t>
      </w:r>
    </w:p>
    <w:p>
      <w:pPr>
        <w:spacing w:before="0" w:after="80" w:line="276" w:lineRule="auto"/>
      </w:pPr>
      <w:r>
        <w:rPr>
          <w:rFonts w:ascii="Arial" w:hAnsi="Arial"/>
          <w:color w:val="1E293B"/>
          <w:sz w:val="20"/>
        </w:rPr>
        <w:t xml:space="preserve">   * Objek perikatan harus ditentukan atau setidak-tidaknya dapat ditentukan jenisnya, kuantitasnya, atau nilainya pada kemudian hari (**Pasal 1332 dan Pasal 1333 KUHPerdata**).</w:t>
      </w:r>
    </w:p>
    <w:p>
      <w:pPr>
        <w:spacing w:before="0" w:after="80" w:line="276" w:lineRule="auto"/>
      </w:pPr>
      <w:r>
        <w:rPr>
          <w:rFonts w:ascii="Arial" w:hAnsi="Arial"/>
          <w:color w:val="1E293B"/>
          <w:sz w:val="20"/>
        </w:rPr>
        <w:t xml:space="preserve">   * Objek tersebut harus merupakan barang/jasa yang dapat diperdagangkan dan bernilai ekonomis.</w:t>
      </w:r>
    </w:p>
    <w:p>
      <w:pPr>
        <w:spacing w:before="0" w:after="80" w:line="276" w:lineRule="auto"/>
      </w:pPr>
      <w:r>
        <w:rPr>
          <w:rFonts w:ascii="Arial" w:hAnsi="Arial"/>
          <w:color w:val="1E293B"/>
          <w:sz w:val="20"/>
        </w:rPr>
        <w:t>4. **Suatu Sebab yang Halal / Tidak Terlarang (*Geoorloofde Oorzaak*)**</w:t>
      </w:r>
    </w:p>
    <w:p>
      <w:pPr>
        <w:spacing w:before="0" w:after="80" w:line="276" w:lineRule="auto"/>
      </w:pPr>
      <w:r>
        <w:rPr>
          <w:rFonts w:ascii="Arial" w:hAnsi="Arial"/>
          <w:color w:val="1E293B"/>
          <w:sz w:val="20"/>
        </w:rPr>
        <w:t xml:space="preserve">   * Istilah "sebab" (*causa*) merujuk pada isi, maksud, dan tujuan objektif dari perjanjian tersebut, bukan motif subjektif para pihak.</w:t>
      </w:r>
    </w:p>
    <w:p>
      <w:pPr>
        <w:spacing w:before="0" w:after="80" w:line="276" w:lineRule="auto"/>
      </w:pPr>
      <w:r>
        <w:rPr>
          <w:rFonts w:ascii="Arial" w:hAnsi="Arial"/>
          <w:color w:val="1E293B"/>
          <w:sz w:val="20"/>
        </w:rPr>
        <w:t xml:space="preserve">   * Berdasarkan **Pasal 1335 dan Pasal 1337 KUHPerdata**, perjanjian tidak memiliki kekuatan hukum jika dibuat tanpa sebab, dengan sebab palsu, atau sebab yang dilarang undang-undang, bertentangan dengan kesusilaan baik (*goede zeden*), atau ketertiban umum (*openbare orde*).</w:t>
      </w:r>
    </w:p>
    <w:p>
      <w:pPr>
        <w:spacing w:before="0" w:after="80"/>
      </w:pPr>
    </w:p>
    <w:p>
      <w:pPr>
        <w:spacing w:before="0" w:after="80" w:line="276" w:lineRule="auto"/>
      </w:pPr>
      <w:r>
        <w:rPr>
          <w:rFonts w:ascii="Arial" w:hAnsi="Arial"/>
          <w:color w:val="1E293B"/>
          <w:sz w:val="20"/>
        </w:rPr>
        <w:t>*Konsekuensi Hukum Pelanggaran Syarat Objektif:*</w:t>
      </w:r>
    </w:p>
    <w:p>
      <w:pPr>
        <w:spacing w:before="0" w:after="80" w:line="276" w:lineRule="auto"/>
      </w:pPr>
      <w:r>
        <w:rPr>
          <w:rFonts w:ascii="Arial" w:hAnsi="Arial"/>
          <w:color w:val="1E293B"/>
          <w:sz w:val="20"/>
        </w:rPr>
        <w:t>Apabila syarat pokok persoalan tertentu atau sebab yang halal tidak terpenuhi, perjanjian tersebut **batal demi hukum (*nietig van rechtswege / null and void ab initio*)**. Kontrak dianggap tidak pernah ada sejak semula, perikatan tidak pernah lahir, dan tidak ada hak atau kewajiban yang dapat dieksekusi secara hukum.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Keterkaitan dengan Asas-Asas Pokok Hukum Kontrak</w:t>
      </w:r>
    </w:p>
    <w:p>
      <w:pPr>
        <w:spacing w:before="0" w:after="80" w:line="276" w:lineRule="auto"/>
      </w:pPr>
      <w:r>
        <w:rPr>
          <w:rFonts w:ascii="Arial" w:hAnsi="Arial"/>
          <w:color w:val="1E293B"/>
          <w:sz w:val="20"/>
        </w:rPr>
        <w:t>* **Asas Kebebasan Berkontrak (*Freedom of Contract*) &amp; *Pacta Sunt Servanda* (Pasal 1338 ayat (1) KUHPerdata):** Semua perjanjian yang dibuat secara sah (memenuhi Pasal 1320) berlaku sebagai undang-undang bagi mereka yang membuatnya.</w:t>
      </w:r>
    </w:p>
    <w:p>
      <w:pPr>
        <w:spacing w:before="0" w:after="80" w:line="276" w:lineRule="auto"/>
      </w:pPr>
      <w:r>
        <w:rPr>
          <w:rFonts w:ascii="Arial" w:hAnsi="Arial"/>
          <w:color w:val="1E293B"/>
          <w:sz w:val="20"/>
        </w:rPr>
        <w:t>* **Asas Itikad Baik (Pasal 1338 ayat (3) KUHPerdata):** Perjanjian harus dilaksanakan dengan itikad baik (*te goeder trouw*).</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Panduan Kepatuhan Praktis (*Compliance Guidance*)</w:t>
      </w:r>
    </w:p>
    <w:p>
      <w:pPr>
        <w:spacing w:before="0" w:after="80" w:line="276" w:lineRule="auto"/>
      </w:pPr>
      <w:r>
        <w:rPr>
          <w:rFonts w:ascii="Arial" w:hAnsi="Arial"/>
          <w:color w:val="1E293B"/>
          <w:sz w:val="20"/>
        </w:rPr>
        <w:t>1. **Verifikasi Legal Standing &amp; Kecakapan:** Lakukan *legal due diligence* terhadap kapasitas penandatangan, keabsahan surat kuasa (*Power of Attorney*), dan anggaran dasar perusahaan (beserta persetujuan RUPS/Komisaris jika dipersyaratkan).</w:t>
      </w:r>
    </w:p>
    <w:p>
      <w:pPr>
        <w:spacing w:before="0" w:after="80" w:line="276" w:lineRule="auto"/>
      </w:pPr>
      <w:r>
        <w:rPr>
          <w:rFonts w:ascii="Arial" w:hAnsi="Arial"/>
          <w:color w:val="1E293B"/>
          <w:sz w:val="20"/>
        </w:rPr>
        <w:t>2. **Mitigasi Cacat Kehendak:** Pastikan klausul negosiasi terdokumentasi jelas, tidak ada unsur paksaan ekonomi (*undue influence*), dan pernyataan fakta (*representations &amp; warranties*) disampaikan secara transparan.</w:t>
      </w:r>
    </w:p>
    <w:p>
      <w:pPr>
        <w:spacing w:before="0" w:after="80" w:line="276" w:lineRule="auto"/>
      </w:pPr>
      <w:r>
        <w:rPr>
          <w:rFonts w:ascii="Arial" w:hAnsi="Arial"/>
          <w:color w:val="1E293B"/>
          <w:sz w:val="20"/>
        </w:rPr>
        <w:t>3. **Presisi Klausul Objek &amp; Prestasi:** Rumuskan hak, kewajiban, jangka waktu, spesifikasi barang/jasa, dan nilai transaksi secara eksplisit guna menghindari dalil kekaburan objek (*vagueness*).</w:t>
      </w:r>
    </w:p>
    <w:p>
      <w:pPr>
        <w:spacing w:before="0" w:after="80" w:line="276" w:lineRule="auto"/>
      </w:pPr>
      <w:r>
        <w:rPr>
          <w:rFonts w:ascii="Arial" w:hAnsi="Arial"/>
          <w:color w:val="1E293B"/>
          <w:sz w:val="20"/>
        </w:rPr>
        <w:t>4. **Klausul Keterpisahan (*Severability Clause*):** Wajib mencantumkan klausul pemisahan ketentuan agar apabila salah satu pasal dinilai melanggar syarat sebab yang halal (Pasal 1337), klausul lainnya dalam kontrak tetap sah dan mengikat.</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法律依据与法定原文</w:t>
      </w:r>
    </w:p>
    <w:p>
      <w:pPr>
        <w:spacing w:before="0" w:after="80" w:line="276" w:lineRule="auto"/>
      </w:pPr>
      <w:r>
        <w:rPr>
          <w:rFonts w:ascii="Arial" w:hAnsi="Arial"/>
          <w:color w:val="1E293B"/>
          <w:sz w:val="20"/>
        </w:rPr>
        <w:t>关于合同生效法定要件的规定载于**《印度尼西亚民法典》（KUHPerdata / Burgerlijk Wetboek）**第三编“债”（Buku III tentang Perikatan），第二章“因合同或协议产生的债”（Bab II tentang Perikatan-Perikatan yang Lahir dari Kontrak atau Persetujuan）。</w:t>
      </w:r>
    </w:p>
    <w:p>
      <w:pPr>
        <w:spacing w:before="0" w:after="80"/>
      </w:pPr>
    </w:p>
    <w:p>
      <w:pPr>
        <w:spacing w:before="0" w:after="80" w:line="276" w:lineRule="auto"/>
      </w:pPr>
      <w:r>
        <w:rPr>
          <w:rFonts w:ascii="Arial" w:hAnsi="Arial"/>
          <w:color w:val="1E293B"/>
          <w:sz w:val="20"/>
        </w:rPr>
        <w:t>**《印度尼西亚民法典》第1320条规定：**</w:t>
      </w:r>
    </w:p>
    <w:p>
      <w:pPr>
        <w:spacing w:before="0" w:after="80" w:line="276" w:lineRule="auto"/>
      </w:pPr>
      <w:r>
        <w:rPr>
          <w:rFonts w:ascii="Arial" w:hAnsi="Arial"/>
          <w:color w:val="1E293B"/>
          <w:sz w:val="20"/>
        </w:rPr>
        <w:t>&gt; *“合同或协议若要具有法律效力，必须满足以下四项要件：*</w:t>
      </w:r>
    </w:p>
    <w:p>
      <w:pPr>
        <w:spacing w:before="0" w:after="80" w:line="276" w:lineRule="auto"/>
      </w:pPr>
      <w:r>
        <w:rPr>
          <w:rFonts w:ascii="Arial" w:hAnsi="Arial"/>
          <w:color w:val="1E293B"/>
          <w:sz w:val="20"/>
        </w:rPr>
        <w:t>&gt; 1. *受约束当事人的意思表示一致（合意）；*</w:t>
      </w:r>
    </w:p>
    <w:p>
      <w:pPr>
        <w:spacing w:before="0" w:after="80" w:line="276" w:lineRule="auto"/>
      </w:pPr>
      <w:r>
        <w:rPr>
          <w:rFonts w:ascii="Arial" w:hAnsi="Arial"/>
          <w:color w:val="1E293B"/>
          <w:sz w:val="20"/>
        </w:rPr>
        <w:t>&gt; 2. *缔结合同的行为能力；*</w:t>
      </w:r>
    </w:p>
    <w:p>
      <w:pPr>
        <w:spacing w:before="0" w:after="80" w:line="276" w:lineRule="auto"/>
      </w:pPr>
      <w:r>
        <w:rPr>
          <w:rFonts w:ascii="Arial" w:hAnsi="Arial"/>
          <w:color w:val="1E293B"/>
          <w:sz w:val="20"/>
        </w:rPr>
        <w:t>&gt; 3. *确定之标的；*</w:t>
      </w:r>
    </w:p>
    <w:p>
      <w:pPr>
        <w:spacing w:before="0" w:after="80" w:line="276" w:lineRule="auto"/>
      </w:pPr>
      <w:r>
        <w:rPr>
          <w:rFonts w:ascii="Arial" w:hAnsi="Arial"/>
          <w:color w:val="1E293B"/>
          <w:sz w:val="20"/>
        </w:rPr>
        <w:t>&gt; 4. *合法之原因（不得为法律所禁止的对价或原因）。”*</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合同生效四项要件的法理分类与深度剖析</w:t>
      </w:r>
    </w:p>
    <w:p>
      <w:pPr>
        <w:spacing w:before="0" w:after="80"/>
      </w:pPr>
    </w:p>
    <w:p>
      <w:pPr>
        <w:spacing w:before="0" w:after="80" w:line="276" w:lineRule="auto"/>
      </w:pPr>
      <w:r>
        <w:rPr>
          <w:rFonts w:ascii="Arial" w:hAnsi="Arial"/>
          <w:color w:val="1E293B"/>
          <w:sz w:val="20"/>
        </w:rPr>
        <w:t>根据印尼民法学理与司法判例，上述四项要件在法律属性及违反应承担的后果上划分为两大基础类别：</w:t>
      </w:r>
    </w:p>
    <w:p>
      <w:pPr>
        <w:spacing w:before="0" w:after="80"/>
      </w:pPr>
    </w:p>
    <w:p>
      <w:pPr>
        <w:spacing w:before="160" w:after="80" w:line="276" w:lineRule="auto"/>
      </w:pPr>
      <w:r>
        <w:rPr>
          <w:rFonts w:ascii="Arial" w:hAnsi="Arial"/>
          <w:b/>
          <w:color w:val="0F172A"/>
          <w:sz w:val="21"/>
        </w:rPr>
        <w:t>##### A. 主观要件（涉及缔约主体 / 权利主体）</w:t>
      </w:r>
    </w:p>
    <w:p>
      <w:pPr>
        <w:spacing w:before="0" w:after="80" w:line="276" w:lineRule="auto"/>
      </w:pPr>
      <w:r>
        <w:rPr>
          <w:rFonts w:ascii="Arial" w:hAnsi="Arial"/>
          <w:color w:val="1E293B"/>
          <w:sz w:val="20"/>
        </w:rPr>
        <w:t>1. **当事人意思表示一致（*Consensus / Toestemming*）**</w:t>
      </w:r>
    </w:p>
    <w:p>
      <w:pPr>
        <w:spacing w:before="0" w:after="80" w:line="276" w:lineRule="auto"/>
      </w:pPr>
      <w:r>
        <w:rPr>
          <w:rFonts w:ascii="Arial" w:hAnsi="Arial"/>
          <w:color w:val="1E293B"/>
          <w:sz w:val="20"/>
        </w:rPr>
        <w:t xml:space="preserve">   * 要求当事各方在不受任何意思表示瑕疵（*wilsgebrek*）干扰的前提下，基于真实自由意志达成合意。</w:t>
      </w:r>
    </w:p>
    <w:p>
      <w:pPr>
        <w:spacing w:before="0" w:after="80" w:line="276" w:lineRule="auto"/>
      </w:pPr>
      <w:r>
        <w:rPr>
          <w:rFonts w:ascii="Arial" w:hAnsi="Arial"/>
          <w:color w:val="1E293B"/>
          <w:sz w:val="20"/>
        </w:rPr>
        <w:t xml:space="preserve">   * 依据**《印尼民法典》第1321条**，凡基于以下情形作出的合意，均属无效瑕疵：</w:t>
      </w:r>
    </w:p>
    <w:p>
      <w:pPr>
        <w:spacing w:before="0" w:after="80" w:line="276" w:lineRule="auto"/>
      </w:pPr>
      <w:r>
        <w:rPr>
          <w:rFonts w:ascii="Arial" w:hAnsi="Arial"/>
          <w:color w:val="1E293B"/>
          <w:sz w:val="20"/>
        </w:rPr>
        <w:t xml:space="preserve">     * 错误/重大误解（*dwaling*）；</w:t>
      </w:r>
    </w:p>
    <w:p>
      <w:pPr>
        <w:spacing w:before="0" w:after="80" w:line="276" w:lineRule="auto"/>
      </w:pPr>
      <w:r>
        <w:rPr>
          <w:rFonts w:ascii="Arial" w:hAnsi="Arial"/>
          <w:color w:val="1E293B"/>
          <w:sz w:val="20"/>
        </w:rPr>
        <w:t xml:space="preserve">     * 强迫/胁迫（*dwang*）；或</w:t>
      </w:r>
    </w:p>
    <w:p>
      <w:pPr>
        <w:spacing w:before="0" w:after="80" w:line="276" w:lineRule="auto"/>
      </w:pPr>
      <w:r>
        <w:rPr>
          <w:rFonts w:ascii="Arial" w:hAnsi="Arial"/>
          <w:color w:val="1E293B"/>
          <w:sz w:val="20"/>
        </w:rPr>
        <w:t xml:space="preserve">     * 欺诈（*bedrog*）。</w:t>
      </w:r>
    </w:p>
    <w:p>
      <w:pPr>
        <w:spacing w:before="0" w:after="80" w:line="276" w:lineRule="auto"/>
      </w:pPr>
      <w:r>
        <w:rPr>
          <w:rFonts w:ascii="Arial" w:hAnsi="Arial"/>
          <w:color w:val="1E293B"/>
          <w:sz w:val="20"/>
        </w:rPr>
        <w:t>2. **缔约行为能力（*Bekwaamheid*）**</w:t>
      </w:r>
    </w:p>
    <w:p>
      <w:pPr>
        <w:spacing w:before="0" w:after="80" w:line="276" w:lineRule="auto"/>
      </w:pPr>
      <w:r>
        <w:rPr>
          <w:rFonts w:ascii="Arial" w:hAnsi="Arial"/>
          <w:color w:val="1E293B"/>
          <w:sz w:val="20"/>
        </w:rPr>
        <w:t xml:space="preserve">   * 原则上除法律明确排除外，任何人均推定具备缔约行为能力。</w:t>
      </w:r>
    </w:p>
    <w:p>
      <w:pPr>
        <w:spacing w:before="0" w:after="80" w:line="276" w:lineRule="auto"/>
      </w:pPr>
      <w:r>
        <w:rPr>
          <w:rFonts w:ascii="Arial" w:hAnsi="Arial"/>
          <w:color w:val="1E293B"/>
          <w:sz w:val="20"/>
        </w:rPr>
        <w:t xml:space="preserve">   * 依据**《印尼民法典》第1330条**，下列主体属于不具备完全行为能力人（*onbekwaam*）：</w:t>
      </w:r>
    </w:p>
    <w:p>
      <w:pPr>
        <w:spacing w:before="0" w:after="80" w:line="276" w:lineRule="auto"/>
      </w:pPr>
      <w:r>
        <w:rPr>
          <w:rFonts w:ascii="Arial" w:hAnsi="Arial"/>
          <w:color w:val="1E293B"/>
          <w:sz w:val="20"/>
        </w:rPr>
        <w:t xml:space="preserve">     * 未成年人（成年标准需结合相关现行法律，如民法典第330条结合印尼最高法院第477 K/Sip/1983号判决等最新司法裁量）；</w:t>
      </w:r>
    </w:p>
    <w:p>
      <w:pPr>
        <w:spacing w:before="0" w:after="80" w:line="276" w:lineRule="auto"/>
      </w:pPr>
      <w:r>
        <w:rPr>
          <w:rFonts w:ascii="Arial" w:hAnsi="Arial"/>
          <w:color w:val="1E293B"/>
          <w:sz w:val="20"/>
        </w:rPr>
        <w:t xml:space="preserve">     * 受监护人（*curatele*，如精神错乱或禁治产人）；</w:t>
      </w:r>
    </w:p>
    <w:p>
      <w:pPr>
        <w:spacing w:before="0" w:after="80" w:line="276" w:lineRule="auto"/>
      </w:pPr>
      <w:r>
        <w:rPr>
          <w:rFonts w:ascii="Arial" w:hAnsi="Arial"/>
          <w:b/>
          <w:color w:val="0F172A"/>
          <w:sz w:val="21"/>
        </w:rPr>
        <w:t xml:space="preserve">     * 法律限定情形下的已婚妇女（注：该歧视性条款已由最高法院1963年第3号通函（SEMA 3/1963）及1974年第1号婚姻法第31条明确废止）。</w:t>
      </w:r>
    </w:p>
    <w:p>
      <w:pPr>
        <w:spacing w:before="0" w:after="80" w:line="276" w:lineRule="auto"/>
      </w:pPr>
      <w:r>
        <w:rPr>
          <w:rFonts w:ascii="Arial" w:hAnsi="Arial"/>
          <w:color w:val="1E293B"/>
          <w:sz w:val="20"/>
        </w:rPr>
        <w:t xml:space="preserve">   * 针对法人机构（*legal entity*），缔约能力通过公司章程授权的法定代表人（董事会）体现，并受《2007年第40号有限责任公司法》（经第6/2023号法令修正）制约。</w:t>
      </w:r>
    </w:p>
    <w:p>
      <w:pPr>
        <w:spacing w:before="0" w:after="80"/>
      </w:pPr>
    </w:p>
    <w:p>
      <w:pPr>
        <w:spacing w:before="0" w:after="80" w:line="276" w:lineRule="auto"/>
      </w:pPr>
      <w:r>
        <w:rPr>
          <w:rFonts w:ascii="Arial" w:hAnsi="Arial"/>
          <w:color w:val="1E293B"/>
          <w:sz w:val="20"/>
        </w:rPr>
        <w:t>*违反主观要件的法律后果：*</w:t>
      </w:r>
    </w:p>
    <w:p>
      <w:pPr>
        <w:spacing w:before="0" w:after="80" w:line="276" w:lineRule="auto"/>
      </w:pPr>
      <w:r>
        <w:rPr>
          <w:rFonts w:ascii="Arial" w:hAnsi="Arial"/>
          <w:color w:val="1E293B"/>
          <w:sz w:val="20"/>
        </w:rPr>
        <w:t>若合同缺少合意或主体欠缺缔约能力，该合同属于**可撤销合同（*vernietigbaar / voidable*）**。在未成年人监护人或受意思表示瑕疵损害的一方向法院提起诉讼并获得法官终审撤销判决前，该合同在法律上依然维持有效状态（参见民法典第1451条至1456条）。</w:t>
      </w:r>
    </w:p>
    <w:p>
      <w:pPr>
        <w:spacing w:before="0" w:after="80"/>
      </w:pPr>
    </w:p>
    <w:p>
      <w:pPr>
        <w:spacing w:before="160" w:after="80" w:line="276" w:lineRule="auto"/>
      </w:pPr>
      <w:r>
        <w:rPr>
          <w:rFonts w:ascii="Arial" w:hAnsi="Arial"/>
          <w:b/>
          <w:color w:val="0F172A"/>
          <w:sz w:val="21"/>
        </w:rPr>
        <w:t>##### B. 客观要件（涉及合同标的 / 给付内容）</w:t>
      </w:r>
    </w:p>
    <w:p>
      <w:pPr>
        <w:spacing w:before="0" w:after="80" w:line="276" w:lineRule="auto"/>
      </w:pPr>
      <w:r>
        <w:rPr>
          <w:rFonts w:ascii="Arial" w:hAnsi="Arial"/>
          <w:color w:val="1E293B"/>
          <w:sz w:val="20"/>
        </w:rPr>
        <w:t>3. **确定之标的（*Bepaald Onderwerp*）**</w:t>
      </w:r>
    </w:p>
    <w:p>
      <w:pPr>
        <w:spacing w:before="0" w:after="80" w:line="276" w:lineRule="auto"/>
      </w:pPr>
      <w:r>
        <w:rPr>
          <w:rFonts w:ascii="Arial" w:hAnsi="Arial"/>
          <w:color w:val="1E293B"/>
          <w:sz w:val="20"/>
        </w:rPr>
        <w:t xml:space="preserve">   * 合同的标的必须明确，或至少其种类、数量及价值在未来是可以确定的（**《印尼民法典》第1332条与第1333条**）。</w:t>
      </w:r>
    </w:p>
    <w:p>
      <w:pPr>
        <w:spacing w:before="0" w:after="80" w:line="276" w:lineRule="auto"/>
      </w:pPr>
      <w:r>
        <w:rPr>
          <w:rFonts w:ascii="Arial" w:hAnsi="Arial"/>
          <w:color w:val="1E293B"/>
          <w:sz w:val="20"/>
        </w:rPr>
        <w:t xml:space="preserve">   * 标的必须属于具备商业流通性及经济价值的合法财产或服务。</w:t>
      </w:r>
    </w:p>
    <w:p>
      <w:pPr>
        <w:spacing w:before="0" w:after="80" w:line="276" w:lineRule="auto"/>
      </w:pPr>
      <w:r>
        <w:rPr>
          <w:rFonts w:ascii="Arial" w:hAnsi="Arial"/>
          <w:color w:val="1E293B"/>
          <w:sz w:val="20"/>
        </w:rPr>
        <w:t>4. **合法之原因（*Geoorloofde Oorzaak*）**</w:t>
      </w:r>
    </w:p>
    <w:p>
      <w:pPr>
        <w:spacing w:before="0" w:after="80" w:line="276" w:lineRule="auto"/>
      </w:pPr>
      <w:r>
        <w:rPr>
          <w:rFonts w:ascii="Arial" w:hAnsi="Arial"/>
          <w:color w:val="1E293B"/>
          <w:sz w:val="20"/>
        </w:rPr>
        <w:t xml:space="preserve">   * “原因”（*causa*）指合同本身的法律目的、给付内容及客观性质，而非当事人的主观动机。</w:t>
      </w:r>
    </w:p>
    <w:p>
      <w:pPr>
        <w:spacing w:before="0" w:after="80" w:line="276" w:lineRule="auto"/>
      </w:pPr>
      <w:r>
        <w:rPr>
          <w:rFonts w:ascii="Arial" w:hAnsi="Arial"/>
          <w:color w:val="1E293B"/>
          <w:sz w:val="20"/>
        </w:rPr>
        <w:t xml:space="preserve">   * 依据**《印尼民法典》第1335条与第1337条**，无原因、基于虚假原因、或其原因违反强制性法律规范、公共秩序（*openbare orde*）或公序良俗（*goede zeden*）的合同，不具有法律效力。</w:t>
      </w:r>
    </w:p>
    <w:p>
      <w:pPr>
        <w:spacing w:before="0" w:after="80"/>
      </w:pPr>
    </w:p>
    <w:p>
      <w:pPr>
        <w:spacing w:before="0" w:after="80" w:line="276" w:lineRule="auto"/>
      </w:pPr>
      <w:r>
        <w:rPr>
          <w:rFonts w:ascii="Arial" w:hAnsi="Arial"/>
          <w:color w:val="1E293B"/>
          <w:sz w:val="20"/>
        </w:rPr>
        <w:t>*违反客观要件的法律后果：*</w:t>
      </w:r>
    </w:p>
    <w:p>
      <w:pPr>
        <w:spacing w:before="0" w:after="80" w:line="276" w:lineRule="auto"/>
      </w:pPr>
      <w:r>
        <w:rPr>
          <w:rFonts w:ascii="Arial" w:hAnsi="Arial"/>
          <w:color w:val="1E293B"/>
          <w:sz w:val="20"/>
        </w:rPr>
        <w:t>若合同缺少明确标的或违反合法原因，该合同**自始绝对无效（*nietig van rechtswege / null and void ab initio*）**。法律上视该合同从未产生过任何效力，不得作为产生债权或执行救济的法定依据。</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与合同法核心原则的关联</w:t>
      </w:r>
    </w:p>
    <w:p>
      <w:pPr>
        <w:spacing w:before="0" w:after="80" w:line="276" w:lineRule="auto"/>
      </w:pPr>
      <w:r>
        <w:rPr>
          <w:rFonts w:ascii="Arial" w:hAnsi="Arial"/>
          <w:color w:val="1E293B"/>
          <w:sz w:val="20"/>
        </w:rPr>
        <w:t>* **契约自由原则与契约严守原则（*Pacta Sunt Servanda*，民法典第1338条第1款）：** 一切依法成立（完全满足第1320条）的合同，对缔约各方具有相当于法律的强制约束力。</w:t>
      </w:r>
    </w:p>
    <w:p>
      <w:pPr>
        <w:spacing w:before="0" w:after="80" w:line="276" w:lineRule="auto"/>
      </w:pPr>
      <w:r>
        <w:rPr>
          <w:rFonts w:ascii="Arial" w:hAnsi="Arial"/>
          <w:color w:val="1E293B"/>
          <w:sz w:val="20"/>
        </w:rPr>
        <w:t>* **诚实信用原则（民法典第1338条第3款）：** 合同必须以诚实信用（*te goeder trouw*）原则全面履行。</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商业与法律合规实务指南 (*Compliance Guidance*)</w:t>
      </w:r>
    </w:p>
    <w:p>
      <w:pPr>
        <w:spacing w:before="0" w:after="80" w:line="276" w:lineRule="auto"/>
      </w:pPr>
      <w:r>
        <w:rPr>
          <w:rFonts w:ascii="Arial" w:hAnsi="Arial"/>
          <w:color w:val="1E293B"/>
          <w:sz w:val="20"/>
        </w:rPr>
        <w:t>1. **签约资格尽职调查（Legal Standing）：** 严格审查签署人的身份证明、授权委托书（Power of Attorney）、公司章程（AOA）及公司注册证书，确认是否需要董事会决议、监事会批准或股东大会（GMS）决议。</w:t>
      </w:r>
    </w:p>
    <w:p>
      <w:pPr>
        <w:spacing w:before="0" w:after="80" w:line="276" w:lineRule="auto"/>
      </w:pPr>
      <w:r>
        <w:rPr>
          <w:rFonts w:ascii="Arial" w:hAnsi="Arial"/>
          <w:color w:val="1E293B"/>
          <w:sz w:val="20"/>
        </w:rPr>
        <w:t>2. **防范意思表示瑕疵：** 完整留存磋商记录与备忘录，杜绝不当影响（*undue influence*）或经济胁迫指控，并在陈述与保证（*Representations and Warranties*）条款中确立信息披露的真实与完整。</w:t>
      </w:r>
    </w:p>
    <w:p>
      <w:pPr>
        <w:spacing w:before="0" w:after="80" w:line="276" w:lineRule="auto"/>
      </w:pPr>
      <w:r>
        <w:rPr>
          <w:rFonts w:ascii="Arial" w:hAnsi="Arial"/>
          <w:color w:val="1E293B"/>
          <w:sz w:val="20"/>
        </w:rPr>
        <w:t>3. **标的与给付明晰化：** 清晰定义标的物规格、交货标准、服务范围及对价支付机制，防止因标的不明或含混招致合同客观效力争议。</w:t>
      </w:r>
    </w:p>
    <w:p>
      <w:pPr>
        <w:spacing w:before="0" w:after="80" w:line="276" w:lineRule="auto"/>
      </w:pPr>
      <w:r>
        <w:rPr>
          <w:rFonts w:ascii="Arial" w:hAnsi="Arial"/>
          <w:color w:val="1E293B"/>
          <w:sz w:val="20"/>
        </w:rPr>
        <w:t>4. **设立合同条款可分性（Severability Clause）：** 务必载明可分性条款，确保若合同中某一特定条款因违反法律强制性规范或公序良俗被裁定无效（民法典第1337条），其他合法条款仍保持完全独立有效。</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