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 of the Indonesian Civil Code"</w:t>
      </w:r>
    </w:p>
    <w:p>
      <w:pPr>
        <w:spacing w:before="0" w:after="360"/>
        <w:jc w:val="center"/>
      </w:pPr>
      <w:r>
        <w:rPr>
          <w:rFonts w:ascii="Arial" w:hAnsi="Arial"/>
          <w:color w:val="64748B"/>
          <w:sz w:val="17"/>
        </w:rPr>
        <w:t>CATEGORY: CORPORATE &amp; INVESTMENT | DUAL LANGUAGE: ID ↔ ENGLISH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Autentik Pasal 1320 Kitab Undang-Undang Hukum Perdata (KUHPerdata)</w:t>
      </w:r>
    </w:p>
    <w:p>
      <w:pPr>
        <w:spacing w:before="0" w:after="80" w:line="276" w:lineRule="auto"/>
      </w:pPr>
      <w:r>
        <w:rPr>
          <w:rFonts w:ascii="Arial" w:hAnsi="Arial"/>
          <w:color w:val="1E293B"/>
          <w:sz w:val="20"/>
        </w:rPr>
        <w:t>Pasal 1320 KUHPerdata menetapkan empat pilar utama keabsahan suatu perjanjian:</w:t>
      </w:r>
    </w:p>
    <w:p>
      <w:pPr>
        <w:spacing w:before="0" w:after="80" w:line="276" w:lineRule="auto"/>
      </w:pPr>
      <w:r>
        <w:rPr>
          <w:rFonts w:ascii="Arial" w:hAnsi="Arial"/>
          <w:color w:val="1E293B"/>
          <w:sz w:val="20"/>
        </w:rPr>
        <w:t>&gt; *"Supaya terjadi persetujuan yang sah, perlu dipenuhi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Doktrin hukum perdata Indonesia mengklasifikasikan keempat syarat tersebut ke dalam dua kategori yuridis:</w:t>
      </w:r>
    </w:p>
    <w:p>
      <w:pPr>
        <w:spacing w:before="0" w:after="80" w:line="276" w:lineRule="auto"/>
      </w:pPr>
      <w:r>
        <w:rPr>
          <w:rFonts w:ascii="Arial" w:hAnsi="Arial"/>
          <w:color w:val="1E293B"/>
          <w:sz w:val="20"/>
        </w:rPr>
        <w:t>*   **Syarat Subjektif** (berkenaan dengan subjek hukum): Unsur (1) dan (2).</w:t>
      </w:r>
    </w:p>
    <w:p>
      <w:pPr>
        <w:spacing w:before="0" w:after="80" w:line="276" w:lineRule="auto"/>
      </w:pPr>
      <w:r>
        <w:rPr>
          <w:rFonts w:ascii="Arial" w:hAnsi="Arial"/>
          <w:color w:val="1E293B"/>
          <w:sz w:val="20"/>
        </w:rPr>
        <w:t>*   **Syarat Objektif** (berkenaan dengan objek dan isi perjanjian): Unsur (3) dan (4).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Elemen Yuridis</w:t>
      </w:r>
    </w:p>
    <w:p>
      <w:pPr>
        <w:spacing w:before="0" w:after="80"/>
      </w:pPr>
    </w:p>
    <w:p>
      <w:pPr>
        <w:spacing w:before="160" w:after="80" w:line="276" w:lineRule="auto"/>
      </w:pPr>
      <w:r>
        <w:rPr>
          <w:rFonts w:ascii="Arial" w:hAnsi="Arial"/>
          <w:b/>
          <w:color w:val="0F172A"/>
          <w:sz w:val="21"/>
        </w:rPr>
        <w:t>##### A. Syarat Subjektif</w:t>
      </w:r>
    </w:p>
    <w:p>
      <w:pPr>
        <w:spacing w:before="0" w:after="80" w:line="276" w:lineRule="auto"/>
      </w:pPr>
      <w:r>
        <w:rPr>
          <w:rFonts w:ascii="Arial" w:hAnsi="Arial"/>
          <w:color w:val="1E293B"/>
          <w:sz w:val="20"/>
        </w:rPr>
        <w:t>1. **Kesepakatan Para Pihak (*Consensus*)**</w:t>
      </w:r>
    </w:p>
    <w:p>
      <w:pPr>
        <w:spacing w:before="0" w:after="80" w:line="276" w:lineRule="auto"/>
      </w:pPr>
      <w:r>
        <w:rPr>
          <w:rFonts w:ascii="Arial" w:hAnsi="Arial"/>
          <w:color w:val="1E293B"/>
          <w:sz w:val="20"/>
        </w:rPr>
        <w:t xml:space="preserve">   * Tunduk pada asas konsensualisme (Pasal 1338 ayat (1) jo. Pasal 1320 butir 1 KUHPerdata). Perjanjian lahir pada saat tercapainya persesuaian kehendak (*wilsovereenstemming*).</w:t>
      </w:r>
    </w:p>
    <w:p>
      <w:pPr>
        <w:spacing w:before="0" w:after="80" w:line="276" w:lineRule="auto"/>
      </w:pPr>
      <w:r>
        <w:rPr>
          <w:rFonts w:ascii="Arial" w:hAnsi="Arial"/>
          <w:color w:val="1E293B"/>
          <w:sz w:val="20"/>
        </w:rPr>
        <w:t xml:space="preserve">   * Kesepakatan harus bebas dari cacat kehendak (*wilsgebreken*). Berdasarkan Pasal 1321 KUHPerdata, kesepakatan tidak sah apabila diberikan karena:</w:t>
      </w:r>
    </w:p>
    <w:p>
      <w:pPr>
        <w:spacing w:before="0" w:after="80" w:line="276" w:lineRule="auto"/>
      </w:pPr>
      <w:r>
        <w:rPr>
          <w:rFonts w:ascii="Arial" w:hAnsi="Arial"/>
          <w:color w:val="1E293B"/>
          <w:sz w:val="20"/>
        </w:rPr>
        <w:t xml:space="preserve">     * **Kekhilafan/Kesesatan (*dwaling*)** (Pasal 1322 KUHPerdata): Mengenai hakikat kebendaan atau diri pihak lawan.</w:t>
      </w:r>
    </w:p>
    <w:p>
      <w:pPr>
        <w:spacing w:before="0" w:after="80" w:line="276" w:lineRule="auto"/>
      </w:pPr>
      <w:r>
        <w:rPr>
          <w:rFonts w:ascii="Arial" w:hAnsi="Arial"/>
          <w:color w:val="1E293B"/>
          <w:sz w:val="20"/>
        </w:rPr>
        <w:t xml:space="preserve">     * **Paksaan (*dwang*)** (Pasal 1323–1327 KUHPerdata): Tekanan psikis atau fisik yang menimbulkan ketakutan beralasan.</w:t>
      </w:r>
    </w:p>
    <w:p>
      <w:pPr>
        <w:spacing w:before="0" w:after="80" w:line="276" w:lineRule="auto"/>
      </w:pPr>
      <w:r>
        <w:rPr>
          <w:rFonts w:ascii="Arial" w:hAnsi="Arial"/>
          <w:color w:val="1E293B"/>
          <w:sz w:val="20"/>
        </w:rPr>
        <w:t xml:space="preserve">     * **Penipuan (*bedrog*)** (Pasal 1328 KUHPerdata): Tipu muslihat yang disengaja.</w:t>
      </w:r>
    </w:p>
    <w:p>
      <w:pPr>
        <w:spacing w:before="0" w:after="80" w:line="276" w:lineRule="auto"/>
      </w:pPr>
      <w:r>
        <w:rPr>
          <w:rFonts w:ascii="Arial" w:hAnsi="Arial"/>
          <w:color w:val="1E293B"/>
          <w:sz w:val="20"/>
        </w:rPr>
        <w:t xml:space="preserve">     * *Doktrin &amp; Yurisprudensi:* Diakui pula cacat kehendak keempat, yaitu **Penyalahgunaan Keadaan (*misbruik van omstandigheden*)**, baik karena keunggulan ekonomi maupun psikologis.</w:t>
      </w:r>
    </w:p>
    <w:p>
      <w:pPr>
        <w:spacing w:before="0" w:after="80"/>
      </w:pPr>
    </w:p>
    <w:p>
      <w:pPr>
        <w:spacing w:before="0" w:after="80" w:line="276" w:lineRule="auto"/>
      </w:pPr>
      <w:r>
        <w:rPr>
          <w:rFonts w:ascii="Arial" w:hAnsi="Arial"/>
          <w:color w:val="1E293B"/>
          <w:sz w:val="20"/>
        </w:rPr>
        <w:t>2. **Kecakapan Bertindak (*Bekwaamheid*)**</w:t>
      </w:r>
    </w:p>
    <w:p>
      <w:pPr>
        <w:spacing w:before="0" w:after="80" w:line="276" w:lineRule="auto"/>
      </w:pPr>
      <w:r>
        <w:rPr>
          <w:rFonts w:ascii="Arial" w:hAnsi="Arial"/>
          <w:color w:val="1E293B"/>
          <w:sz w:val="20"/>
        </w:rPr>
        <w:t xml:space="preserve">   * Asas umum: Setiap orang cakap membuat perikatan kecuali undang-undang menyatakan sebaliknya (Pasal 1329 KUHPerdata).</w:t>
      </w:r>
    </w:p>
    <w:p>
      <w:pPr>
        <w:spacing w:before="0" w:after="80" w:line="276" w:lineRule="auto"/>
      </w:pPr>
      <w:r>
        <w:rPr>
          <w:rFonts w:ascii="Arial" w:hAnsi="Arial"/>
          <w:color w:val="1E293B"/>
          <w:sz w:val="20"/>
        </w:rPr>
        <w:t xml:space="preserve">   * Golongan yang **tidak cakap** menurut Pasal 1330 KUHPerdata (dengan penyesuaian regulasi kontemporer):</w:t>
      </w:r>
    </w:p>
    <w:p>
      <w:pPr>
        <w:spacing w:before="0" w:after="80" w:line="276" w:lineRule="auto"/>
      </w:pPr>
      <w:r>
        <w:rPr>
          <w:rFonts w:ascii="Arial" w:hAnsi="Arial"/>
          <w:color w:val="1E293B"/>
          <w:sz w:val="20"/>
        </w:rPr>
        <w:t xml:space="preserve">     * Anak di bawah umur (belum berusia 18 tahun atau belum kawin, merujuk Pasal 330 KUHPerdata jo. Pasal 47 UU No. 1/1974 tentang Perkawinan).</w:t>
      </w:r>
    </w:p>
    <w:p>
      <w:pPr>
        <w:spacing w:before="0" w:after="80" w:line="276" w:lineRule="auto"/>
      </w:pPr>
      <w:r>
        <w:rPr>
          <w:rFonts w:ascii="Arial" w:hAnsi="Arial"/>
          <w:color w:val="1E293B"/>
          <w:sz w:val="20"/>
        </w:rPr>
        <w:t xml:space="preserve">     * Orang yang ditaruh di bawah pengampuan (*curatele*) karena gangguan jiwa atau pemborosan (Pasal 433 KUHPerdata).</w:t>
      </w:r>
    </w:p>
    <w:p>
      <w:pPr>
        <w:spacing w:before="0" w:after="80" w:line="276" w:lineRule="auto"/>
      </w:pPr>
      <w:r>
        <w:rPr>
          <w:rFonts w:ascii="Arial" w:hAnsi="Arial"/>
          <w:color w:val="1E293B"/>
          <w:sz w:val="20"/>
        </w:rPr>
        <w:t xml:space="preserve">     * *Catatan:* Ketentuan Pasal 1330 butir 3 terkait istri yang tunduk pada suami telah dicabut oleh Surat Edaran Mahkamah Agung (SEMA) No. 3 Tahun 1963 dan Pasal 31 UU No. 1/1974.</w:t>
      </w:r>
    </w:p>
    <w:p>
      <w:pPr>
        <w:spacing w:before="0" w:after="80" w:line="276" w:lineRule="auto"/>
      </w:pPr>
      <w:r>
        <w:rPr>
          <w:rFonts w:ascii="Arial" w:hAnsi="Arial"/>
          <w:color w:val="1E293B"/>
          <w:sz w:val="20"/>
        </w:rPr>
        <w:t xml:space="preserve">   * **Kapasitas Korporasi:** Untuk badan hukum (*rechtspersoon*), kewenangan penandatanganan tunduk pada anggaran dasar dan Pasal 98 UU No. 40/2007 tentang Perseroan Terbatas (diwakili oleh Direksi atau pihak yang menerima kuasa yang sah).</w:t>
      </w:r>
    </w:p>
    <w:p>
      <w:pPr>
        <w:spacing w:before="0" w:after="80"/>
      </w:pPr>
    </w:p>
    <w:p>
      <w:pPr>
        <w:spacing w:before="160" w:after="80" w:line="276" w:lineRule="auto"/>
      </w:pPr>
      <w:r>
        <w:rPr>
          <w:rFonts w:ascii="Arial" w:hAnsi="Arial"/>
          <w:b/>
          <w:color w:val="0F172A"/>
          <w:sz w:val="21"/>
        </w:rPr>
        <w:t>##### B. Syarat Objektif</w:t>
      </w:r>
    </w:p>
    <w:p>
      <w:pPr>
        <w:spacing w:before="0" w:after="80" w:line="276" w:lineRule="auto"/>
      </w:pPr>
      <w:r>
        <w:rPr>
          <w:rFonts w:ascii="Arial" w:hAnsi="Arial"/>
          <w:color w:val="1E293B"/>
          <w:sz w:val="20"/>
        </w:rPr>
        <w:t>3. **Pokok Persoalan Tertentu (*Bepaalde Onderwerp*)**</w:t>
      </w:r>
    </w:p>
    <w:p>
      <w:pPr>
        <w:spacing w:before="0" w:after="80" w:line="276" w:lineRule="auto"/>
      </w:pPr>
      <w:r>
        <w:rPr>
          <w:rFonts w:ascii="Arial" w:hAnsi="Arial"/>
          <w:color w:val="1E293B"/>
          <w:sz w:val="20"/>
        </w:rPr>
        <w:t xml:space="preserve">   * Objek perjanjian harus berupa barang yang dapat diperdagangkan (Pasal 1332 KUHPerdata).</w:t>
      </w:r>
    </w:p>
    <w:p>
      <w:pPr>
        <w:spacing w:before="0" w:after="80" w:line="276" w:lineRule="auto"/>
      </w:pPr>
      <w:r>
        <w:rPr>
          <w:rFonts w:ascii="Arial" w:hAnsi="Arial"/>
          <w:color w:val="1E293B"/>
          <w:sz w:val="20"/>
        </w:rPr>
        <w:t xml:space="preserve">   * Jenis barang/prestasi harus dapat ditentukan (*determinable*), setidak-tidaknya jenis dan jumlahnya dapat dihitung kemudian (Pasal 1333 KUHPerdata).</w:t>
      </w:r>
    </w:p>
    <w:p>
      <w:pPr>
        <w:spacing w:before="0" w:after="80" w:line="276" w:lineRule="auto"/>
      </w:pPr>
      <w:r>
        <w:rPr>
          <w:rFonts w:ascii="Arial" w:hAnsi="Arial"/>
          <w:color w:val="1E293B"/>
          <w:sz w:val="20"/>
        </w:rPr>
        <w:t xml:space="preserve">   * Objek dapat berupa barang yang baru akan ada di kemudian hari (Pasal 1334 ayat (1) KUHPerdata), kecuali warisan yang belum terbuka (Pasal 1334 ayat (2) KUHPerdata).</w:t>
      </w:r>
    </w:p>
    <w:p>
      <w:pPr>
        <w:spacing w:before="0" w:after="80"/>
      </w:pPr>
    </w:p>
    <w:p>
      <w:pPr>
        <w:spacing w:before="0" w:after="80" w:line="276" w:lineRule="auto"/>
      </w:pPr>
      <w:r>
        <w:rPr>
          <w:rFonts w:ascii="Arial" w:hAnsi="Arial"/>
          <w:color w:val="1E293B"/>
          <w:sz w:val="20"/>
        </w:rPr>
        <w:t>4. **Sebab yang Halal (*Geoorloofde Oorzaak*)**</w:t>
      </w:r>
    </w:p>
    <w:p>
      <w:pPr>
        <w:spacing w:before="0" w:after="80" w:line="276" w:lineRule="auto"/>
      </w:pPr>
      <w:r>
        <w:rPr>
          <w:rFonts w:ascii="Arial" w:hAnsi="Arial"/>
          <w:color w:val="1E293B"/>
          <w:sz w:val="20"/>
        </w:rPr>
        <w:t xml:space="preserve">   * Yang dimaksud "sebab" (*causa*) adalah tujuan objektif dari perikatan, bukan motif subjektif (*beweegreden*).</w:t>
      </w:r>
    </w:p>
    <w:p>
      <w:pPr>
        <w:spacing w:before="0" w:after="80" w:line="276" w:lineRule="auto"/>
      </w:pPr>
      <w:r>
        <w:rPr>
          <w:rFonts w:ascii="Arial" w:hAnsi="Arial"/>
          <w:color w:val="1E293B"/>
          <w:sz w:val="20"/>
        </w:rPr>
        <w:t xml:space="preserve">   * Suatu sebab dilarang apabila bertentangan dengan:</w:t>
      </w:r>
    </w:p>
    <w:p>
      <w:pPr>
        <w:spacing w:before="0" w:after="80" w:line="276" w:lineRule="auto"/>
      </w:pPr>
      <w:r>
        <w:rPr>
          <w:rFonts w:ascii="Arial" w:hAnsi="Arial"/>
          <w:color w:val="1E293B"/>
          <w:sz w:val="20"/>
        </w:rPr>
        <w:t xml:space="preserve">     * Ketentuan undang-undang yang bersifat memaksa (*dwingend recht*);</w:t>
      </w:r>
    </w:p>
    <w:p>
      <w:pPr>
        <w:spacing w:before="0" w:after="80" w:line="276" w:lineRule="auto"/>
      </w:pPr>
      <w:r>
        <w:rPr>
          <w:rFonts w:ascii="Arial" w:hAnsi="Arial"/>
          <w:color w:val="1E293B"/>
          <w:sz w:val="20"/>
        </w:rPr>
        <w:t xml:space="preserve">     * Ketertiban umum (*openbare orde*); atau</w:t>
      </w:r>
    </w:p>
    <w:p>
      <w:pPr>
        <w:spacing w:before="0" w:after="80" w:line="276" w:lineRule="auto"/>
      </w:pPr>
      <w:r>
        <w:rPr>
          <w:rFonts w:ascii="Arial" w:hAnsi="Arial"/>
          <w:color w:val="1E293B"/>
          <w:sz w:val="20"/>
        </w:rPr>
        <w:t xml:space="preserve">     * Kesusilaan yang baik (*goede zeden*) (Pasal 1335 dan Pasal 1337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Akibat Hukum Ketidakabsahan (Konsekuensi Yuridis)</w:t>
      </w:r>
    </w:p>
    <w:p>
      <w:pPr>
        <w:spacing w:before="0" w:after="80"/>
      </w:pPr>
    </w:p>
    <w:p>
      <w:pPr>
        <w:spacing w:before="0" w:after="80" w:line="276" w:lineRule="auto"/>
      </w:pPr>
      <w:r>
        <w:rPr>
          <w:rFonts w:ascii="Arial" w:hAnsi="Arial"/>
          <w:color w:val="1E293B"/>
          <w:sz w:val="20"/>
        </w:rPr>
        <w:t>| Kategori Pelanggaran | Syarat yang Dilanggar | Status Perjanjian | Mekanisme &amp; Konsekuensi Hukum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**Cacat Subjektif** | Butir 1 (Kesepakatan) atau Butir 2 (Kecakapan) | **Dapat Dibatalkan** (*vernietigbaar* / *voidable*) | Perjanjian tetap mengikat secara hukum selama belum dibatalkan oleh hakim melalui gugatan pembatalan. Pihak yang tidak cakap atau pihak yang cacat kehendaknya memiliki *legal standing* untuk mengajukan pembatalan (Pasal 1446–1456 KUHPerdata) dalam jangka waktu daluwarsa 5 tahun (Pasal 1454 KUHPerdata). |</w:t>
      </w:r>
    </w:p>
    <w:p>
      <w:pPr>
        <w:spacing w:before="0" w:after="80" w:line="276" w:lineRule="auto"/>
      </w:pPr>
      <w:r>
        <w:rPr>
          <w:rFonts w:ascii="Arial" w:hAnsi="Arial"/>
          <w:color w:val="1E293B"/>
          <w:sz w:val="20"/>
        </w:rPr>
        <w:t>| **Cacat Objektif** | Butir 3 (Objek Tertentu) atau Butir 4 (Sebab yang Halal) | **Batal Demi Hukum** (*nietig van rechtswege* / *null and void ab initio*) | Perjanjian dianggap tidak pernah ada sejak awal. Tidak melahirkan perikatan apa pun. Para pihak wajib mengembalikan keadaan ke posisi semula (*restitutio in integrum*). Putusan pengadilan hanya bersifat deklaratoris, bukan konstitutif.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Keterkaitan Regulasi Kontemporer &amp; Panduan Kepatuhan Praktis</w:t>
      </w:r>
    </w:p>
    <w:p>
      <w:pPr>
        <w:spacing w:before="0" w:after="80" w:line="276" w:lineRule="auto"/>
      </w:pPr>
      <w:r>
        <w:rPr>
          <w:rFonts w:ascii="Arial" w:hAnsi="Arial"/>
          <w:color w:val="1E293B"/>
          <w:sz w:val="20"/>
        </w:rPr>
        <w:t>* **Kontrak Elektronik (E-Commerce):** Berdasarkan Pasal 5 ayat (1) jo. Pasal 17 dan Pasal 18 UU No. 11/2008 jo. UU No. 1/2024 tentang Informasi dan Transaksi Elektronik (UU ITE), transaksi elektronik diakui secara sah dan tetap wajib mematuhi kualifikasi Pasal 1320 KUHPerdata. Validitas persetujuan diakomodasi melalui tanda tangan elektronik bersertifikasi (*electronic signature*) dan mekanisme *click-wrap/terms of service* yang transparan.</w:t>
      </w:r>
    </w:p>
    <w:p>
      <w:pPr>
        <w:spacing w:before="0" w:after="80" w:line="276" w:lineRule="auto"/>
      </w:pPr>
      <w:r>
        <w:rPr>
          <w:rFonts w:ascii="Arial" w:hAnsi="Arial"/>
          <w:color w:val="1E293B"/>
          <w:sz w:val="20"/>
        </w:rPr>
        <w:t>* **Kewenangan Bertindak Korporasi:** Periksa Anggaran Dasar dan Berita Acara RUPS/SK Direksi untuk memastikan wakil badan hukum memiliki kapasitas hukum (*authority to bind*) guna memitigasi risiko pembatalan atas dasar *ultra vires*.</w:t>
      </w:r>
    </w:p>
    <w:p>
      <w:pPr>
        <w:spacing w:before="0" w:after="80" w:line="276" w:lineRule="auto"/>
      </w:pPr>
      <w:r>
        <w:rPr>
          <w:rFonts w:ascii="Arial" w:hAnsi="Arial"/>
          <w:color w:val="1E293B"/>
          <w:sz w:val="20"/>
        </w:rPr>
        <w:t>* **Klausul Terlarang:** Larangan klausula baku yang mengalihkan tanggung jawab secara sepihak diatur dalam Pasal 18 UU No. 8/1999 tentang Perlindungan Konsumen; pelanggaran terhadap hal ini mengakibatkan klausul tersebut batal demi hukum karena melanggar syarat sebab yang halal.</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Authentic Statutory Text of Article 1320 Indonesian Civil Code (KUHPerdata)</w:t>
      </w:r>
    </w:p>
    <w:p>
      <w:pPr>
        <w:spacing w:before="0" w:after="80" w:line="276" w:lineRule="auto"/>
      </w:pPr>
      <w:r>
        <w:rPr>
          <w:rFonts w:ascii="Arial" w:hAnsi="Arial"/>
          <w:color w:val="1E293B"/>
          <w:sz w:val="20"/>
        </w:rPr>
        <w:t>Article 1320 of the Indonesian Civil Code (Burgerlijk Wetboek) establishes the four foundational requirements for the validity of an agreement:</w:t>
      </w:r>
    </w:p>
    <w:p>
      <w:pPr>
        <w:spacing w:before="0" w:after="80" w:line="276" w:lineRule="auto"/>
      </w:pPr>
      <w:r>
        <w:rPr>
          <w:rFonts w:ascii="Arial" w:hAnsi="Arial"/>
          <w:color w:val="1E293B"/>
          <w:sz w:val="20"/>
        </w:rPr>
        <w:t>&gt; *"For an agreement to be legally valid, four conditions must be satisfied:*</w:t>
      </w:r>
    </w:p>
    <w:p>
      <w:pPr>
        <w:spacing w:before="0" w:after="80" w:line="276" w:lineRule="auto"/>
      </w:pPr>
      <w:r>
        <w:rPr>
          <w:rFonts w:ascii="Arial" w:hAnsi="Arial"/>
          <w:color w:val="1E293B"/>
          <w:sz w:val="20"/>
        </w:rPr>
        <w:t>&gt; 1. *the mutual consent of the parties binding themselves;*</w:t>
      </w:r>
    </w:p>
    <w:p>
      <w:pPr>
        <w:spacing w:before="0" w:after="80" w:line="276" w:lineRule="auto"/>
      </w:pPr>
      <w:r>
        <w:rPr>
          <w:rFonts w:ascii="Arial" w:hAnsi="Arial"/>
          <w:color w:val="1E293B"/>
          <w:sz w:val="20"/>
        </w:rPr>
        <w:t>&gt; 2. *the legal capacity to enter into an obligation;*</w:t>
      </w:r>
    </w:p>
    <w:p>
      <w:pPr>
        <w:spacing w:before="0" w:after="80" w:line="276" w:lineRule="auto"/>
      </w:pPr>
      <w:r>
        <w:rPr>
          <w:rFonts w:ascii="Arial" w:hAnsi="Arial"/>
          <w:color w:val="1E293B"/>
          <w:sz w:val="20"/>
        </w:rPr>
        <w:t>&gt; 3. *a specific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Indonesian civil law doctrine classifies these four statutory conditions into two distinct legal categories:</w:t>
      </w:r>
    </w:p>
    <w:p>
      <w:pPr>
        <w:spacing w:before="0" w:after="80" w:line="276" w:lineRule="auto"/>
      </w:pPr>
      <w:r>
        <w:rPr>
          <w:rFonts w:ascii="Arial" w:hAnsi="Arial"/>
          <w:color w:val="1E293B"/>
          <w:sz w:val="20"/>
        </w:rPr>
        <w:t>*   **Subjective Requirements** (pertaining to the legal actors): Prongs (1) and (2).</w:t>
      </w:r>
    </w:p>
    <w:p>
      <w:pPr>
        <w:spacing w:before="0" w:after="80" w:line="276" w:lineRule="auto"/>
      </w:pPr>
      <w:r>
        <w:rPr>
          <w:rFonts w:ascii="Arial" w:hAnsi="Arial"/>
          <w:color w:val="1E293B"/>
          <w:sz w:val="20"/>
        </w:rPr>
        <w:t>*   **Objective Requirements** (pertaining to the substance and object of the contract): Prongs (3) and (4).</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Deconstruction of the Legal Elements</w:t>
      </w:r>
    </w:p>
    <w:p>
      <w:pPr>
        <w:spacing w:before="0" w:after="80"/>
      </w:pPr>
    </w:p>
    <w:p>
      <w:pPr>
        <w:spacing w:before="160" w:after="80" w:line="276" w:lineRule="auto"/>
      </w:pPr>
      <w:r>
        <w:rPr>
          <w:rFonts w:ascii="Arial" w:hAnsi="Arial"/>
          <w:b/>
          <w:color w:val="0F172A"/>
          <w:sz w:val="21"/>
        </w:rPr>
        <w:t>##### A. Subjective Requirements</w:t>
      </w:r>
    </w:p>
    <w:p>
      <w:pPr>
        <w:spacing w:before="0" w:after="80" w:line="276" w:lineRule="auto"/>
      </w:pPr>
      <w:r>
        <w:rPr>
          <w:rFonts w:ascii="Arial" w:hAnsi="Arial"/>
          <w:color w:val="1E293B"/>
          <w:sz w:val="20"/>
        </w:rPr>
        <w:t>1. **Mutual Consent of the Parties (*Consensus*)**</w:t>
      </w:r>
    </w:p>
    <w:p>
      <w:pPr>
        <w:spacing w:before="0" w:after="80" w:line="276" w:lineRule="auto"/>
      </w:pPr>
      <w:r>
        <w:rPr>
          <w:rFonts w:ascii="Arial" w:hAnsi="Arial"/>
          <w:color w:val="1E293B"/>
          <w:sz w:val="20"/>
        </w:rPr>
        <w:t xml:space="preserve">   * Governed by the principle of consensualism (Article 1338 paragraph (1) in conjunction with Article 1320 prong 1 of the Civil Code). An agreement is perfected upon the meeting of the minds (*consensus ad idem* / *wilsovereenstemming*).</w:t>
      </w:r>
    </w:p>
    <w:p>
      <w:pPr>
        <w:spacing w:before="0" w:after="80" w:line="276" w:lineRule="auto"/>
      </w:pPr>
      <w:r>
        <w:rPr>
          <w:rFonts w:ascii="Arial" w:hAnsi="Arial"/>
          <w:color w:val="1E293B"/>
          <w:sz w:val="20"/>
        </w:rPr>
        <w:t xml:space="preserve">   * Consent must be free from vices of consent (*wilsgebreken*). Pursuant to Article 1321 of the Civil Code, consent is invalid if procured through:</w:t>
      </w:r>
    </w:p>
    <w:p>
      <w:pPr>
        <w:spacing w:before="0" w:after="80" w:line="276" w:lineRule="auto"/>
      </w:pPr>
      <w:r>
        <w:rPr>
          <w:rFonts w:ascii="Arial" w:hAnsi="Arial"/>
          <w:color w:val="1E293B"/>
          <w:sz w:val="20"/>
        </w:rPr>
        <w:t xml:space="preserve">     * **Mistake (*dwaling*)** (Article 1322 of the Civil Code): Regarding the essential qualities of the subject matter or the identity of the counterparty.</w:t>
      </w:r>
    </w:p>
    <w:p>
      <w:pPr>
        <w:spacing w:before="0" w:after="80" w:line="276" w:lineRule="auto"/>
      </w:pPr>
      <w:r>
        <w:rPr>
          <w:rFonts w:ascii="Arial" w:hAnsi="Arial"/>
          <w:color w:val="1E293B"/>
          <w:sz w:val="20"/>
        </w:rPr>
        <w:t xml:space="preserve">     * **Duress (*dwang*)** (Articles 1323–1327 of the Civil Code): Physical or psychological coercion instilling reasonable fear.</w:t>
      </w:r>
    </w:p>
    <w:p>
      <w:pPr>
        <w:spacing w:before="0" w:after="80" w:line="276" w:lineRule="auto"/>
      </w:pPr>
      <w:r>
        <w:rPr>
          <w:rFonts w:ascii="Arial" w:hAnsi="Arial"/>
          <w:color w:val="1E293B"/>
          <w:sz w:val="20"/>
        </w:rPr>
        <w:t xml:space="preserve">     * **Fraud (*bedrog*)** (Article 1328 of the Civil Code): Intentional deceit or fraudulent misrepresentation.</w:t>
      </w:r>
    </w:p>
    <w:p>
      <w:pPr>
        <w:spacing w:before="0" w:after="80" w:line="276" w:lineRule="auto"/>
      </w:pPr>
      <w:r>
        <w:rPr>
          <w:rFonts w:ascii="Arial" w:hAnsi="Arial"/>
          <w:color w:val="1E293B"/>
          <w:sz w:val="20"/>
        </w:rPr>
        <w:t xml:space="preserve">     * *Doctrine &amp; Jurisprudence:* Modern Indonesian case law recognizes a fourth vice: **Abuse of Circumstances (*misbruik van omstandigheden*)**, arising from extreme economic dominance or psychological vulnerability.</w:t>
      </w:r>
    </w:p>
    <w:p>
      <w:pPr>
        <w:spacing w:before="0" w:after="80"/>
      </w:pPr>
    </w:p>
    <w:p>
      <w:pPr>
        <w:spacing w:before="0" w:after="80" w:line="276" w:lineRule="auto"/>
      </w:pPr>
      <w:r>
        <w:rPr>
          <w:rFonts w:ascii="Arial" w:hAnsi="Arial"/>
          <w:color w:val="1E293B"/>
          <w:sz w:val="20"/>
        </w:rPr>
        <w:t>2. **Legal Capacity to Contract (*Bekwaamheid*)**</w:t>
      </w:r>
    </w:p>
    <w:p>
      <w:pPr>
        <w:spacing w:before="0" w:after="80" w:line="276" w:lineRule="auto"/>
      </w:pPr>
      <w:r>
        <w:rPr>
          <w:rFonts w:ascii="Arial" w:hAnsi="Arial"/>
          <w:color w:val="1E293B"/>
          <w:sz w:val="20"/>
        </w:rPr>
        <w:t xml:space="preserve">   * General presumption: Every person is legally competent to contract unless declared incompetent by law (Article 1329 of the Civil Code).</w:t>
      </w:r>
    </w:p>
    <w:p>
      <w:pPr>
        <w:spacing w:before="0" w:after="80" w:line="276" w:lineRule="auto"/>
      </w:pPr>
      <w:r>
        <w:rPr>
          <w:rFonts w:ascii="Arial" w:hAnsi="Arial"/>
          <w:color w:val="1E293B"/>
          <w:sz w:val="20"/>
        </w:rPr>
        <w:t xml:space="preserve">   * Classes of **incompetent persons** pursuant to Article 1330 of the Civil Code (as amended/modified by subsequent legislation):</w:t>
      </w:r>
    </w:p>
    <w:p>
      <w:pPr>
        <w:spacing w:before="0" w:after="80" w:line="276" w:lineRule="auto"/>
      </w:pPr>
      <w:r>
        <w:rPr>
          <w:rFonts w:ascii="Arial" w:hAnsi="Arial"/>
          <w:color w:val="1E293B"/>
          <w:sz w:val="20"/>
        </w:rPr>
        <w:t xml:space="preserve">     * Minors (individuals under 18 years of age or not yet married, pursuant to Article 330 of the Civil Code in conjunction with Article 47 of Law No. 1/1974 on Marriage).</w:t>
      </w:r>
    </w:p>
    <w:p>
      <w:pPr>
        <w:spacing w:before="0" w:after="80" w:line="276" w:lineRule="auto"/>
      </w:pPr>
      <w:r>
        <w:rPr>
          <w:rFonts w:ascii="Arial" w:hAnsi="Arial"/>
          <w:color w:val="1E293B"/>
          <w:sz w:val="20"/>
        </w:rPr>
        <w:t xml:space="preserve">     * Individuals placed under conservatorship/guardianship (*curatele*) due to mental deficiency, insanity, or prodigality (Article 433 of the Civil Code).</w:t>
      </w:r>
    </w:p>
    <w:p>
      <w:pPr>
        <w:spacing w:before="0" w:after="80" w:line="276" w:lineRule="auto"/>
      </w:pPr>
      <w:r>
        <w:rPr>
          <w:rFonts w:ascii="Arial" w:hAnsi="Arial"/>
          <w:color w:val="1E293B"/>
          <w:sz w:val="20"/>
        </w:rPr>
        <w:t xml:space="preserve">     * *Note:* Article 1330 prong 3 concerning married women's incapacity was repealed by Supreme Court Circular (SEMA) No. 3/1963 and Article 31 of Law No. 1/1974.</w:t>
      </w:r>
    </w:p>
    <w:p>
      <w:pPr>
        <w:spacing w:before="0" w:after="80" w:line="276" w:lineRule="auto"/>
      </w:pPr>
      <w:r>
        <w:rPr>
          <w:rFonts w:ascii="Arial" w:hAnsi="Arial"/>
          <w:color w:val="1E293B"/>
          <w:sz w:val="20"/>
        </w:rPr>
        <w:t xml:space="preserve">   * **Corporate Capacity:** For legal entities (*rechtspersoon*), signatory authority is governed by their Articles of Association and Article 98 of Law No. 40/2007 on Limited Liability Companies (represented by the Board of Directors or an authorized attorney-in-fact).</w:t>
      </w:r>
    </w:p>
    <w:p>
      <w:pPr>
        <w:spacing w:before="0" w:after="80"/>
      </w:pPr>
    </w:p>
    <w:p>
      <w:pPr>
        <w:spacing w:before="160" w:after="80" w:line="276" w:lineRule="auto"/>
      </w:pPr>
      <w:r>
        <w:rPr>
          <w:rFonts w:ascii="Arial" w:hAnsi="Arial"/>
          <w:b/>
          <w:color w:val="0F172A"/>
          <w:sz w:val="21"/>
        </w:rPr>
        <w:t>##### B. Objective Requirements</w:t>
      </w:r>
    </w:p>
    <w:p>
      <w:pPr>
        <w:spacing w:before="0" w:after="80" w:line="276" w:lineRule="auto"/>
      </w:pPr>
      <w:r>
        <w:rPr>
          <w:rFonts w:ascii="Arial" w:hAnsi="Arial"/>
          <w:color w:val="1E293B"/>
          <w:sz w:val="20"/>
        </w:rPr>
        <w:t>3. **Specific Subject Matter (*Bepaalde Onderwerp*)**</w:t>
      </w:r>
    </w:p>
    <w:p>
      <w:pPr>
        <w:spacing w:before="0" w:after="80" w:line="276" w:lineRule="auto"/>
      </w:pPr>
      <w:r>
        <w:rPr>
          <w:rFonts w:ascii="Arial" w:hAnsi="Arial"/>
          <w:color w:val="1E293B"/>
          <w:sz w:val="20"/>
        </w:rPr>
        <w:t xml:space="preserve">   * The subject matter must consist of goods or rights that are within commercial commerce (Article 1332 of the Civil Code).</w:t>
      </w:r>
    </w:p>
    <w:p>
      <w:pPr>
        <w:spacing w:before="0" w:after="80" w:line="276" w:lineRule="auto"/>
      </w:pPr>
      <w:r>
        <w:rPr>
          <w:rFonts w:ascii="Arial" w:hAnsi="Arial"/>
          <w:color w:val="1E293B"/>
          <w:sz w:val="20"/>
        </w:rPr>
        <w:t xml:space="preserve">   * The nature and genus of the performance/goods must be determinable, and the quantity ascertainable (Article 1333 of the Civil Code).</w:t>
      </w:r>
    </w:p>
    <w:p>
      <w:pPr>
        <w:spacing w:before="0" w:after="80" w:line="276" w:lineRule="auto"/>
      </w:pPr>
      <w:r>
        <w:rPr>
          <w:rFonts w:ascii="Arial" w:hAnsi="Arial"/>
          <w:color w:val="1E293B"/>
          <w:sz w:val="20"/>
        </w:rPr>
        <w:t xml:space="preserve">   * The agreement may concern future objects (Article 1334 paragraph (1) of the Civil Code), but cannot concern an undivided future inheritance (Article 1334 paragraph (2) of the Civil Code).</w:t>
      </w:r>
    </w:p>
    <w:p>
      <w:pPr>
        <w:spacing w:before="0" w:after="80"/>
      </w:pPr>
    </w:p>
    <w:p>
      <w:pPr>
        <w:spacing w:before="0" w:after="80" w:line="276" w:lineRule="auto"/>
      </w:pPr>
      <w:r>
        <w:rPr>
          <w:rFonts w:ascii="Arial" w:hAnsi="Arial"/>
          <w:color w:val="1E293B"/>
          <w:sz w:val="20"/>
        </w:rPr>
        <w:t>4. **Lawful Cause (*Geoorloofde Oorzaak*)**</w:t>
      </w:r>
    </w:p>
    <w:p>
      <w:pPr>
        <w:spacing w:before="0" w:after="80" w:line="276" w:lineRule="auto"/>
      </w:pPr>
      <w:r>
        <w:rPr>
          <w:rFonts w:ascii="Arial" w:hAnsi="Arial"/>
          <w:color w:val="1E293B"/>
          <w:sz w:val="20"/>
        </w:rPr>
        <w:t xml:space="preserve">   * "Cause" (*causa*) refers to the objective legal ground/purpose of the contract, distinct from personal subjective motives (*beweegreden*).</w:t>
      </w:r>
    </w:p>
    <w:p>
      <w:pPr>
        <w:spacing w:before="0" w:after="80" w:line="276" w:lineRule="auto"/>
      </w:pPr>
      <w:r>
        <w:rPr>
          <w:rFonts w:ascii="Arial" w:hAnsi="Arial"/>
          <w:color w:val="1E293B"/>
          <w:sz w:val="20"/>
        </w:rPr>
        <w:t xml:space="preserve">   * A cause is unlawful and prohibited if it contravenes:</w:t>
      </w:r>
    </w:p>
    <w:p>
      <w:pPr>
        <w:spacing w:before="0" w:after="80" w:line="276" w:lineRule="auto"/>
      </w:pPr>
      <w:r>
        <w:rPr>
          <w:rFonts w:ascii="Arial" w:hAnsi="Arial"/>
          <w:color w:val="1E293B"/>
          <w:sz w:val="20"/>
        </w:rPr>
        <w:t xml:space="preserve">     * Mandatory statutory provisions (*dwingend recht*);</w:t>
      </w:r>
    </w:p>
    <w:p>
      <w:pPr>
        <w:spacing w:before="0" w:after="80" w:line="276" w:lineRule="auto"/>
      </w:pPr>
      <w:r>
        <w:rPr>
          <w:rFonts w:ascii="Arial" w:hAnsi="Arial"/>
          <w:color w:val="1E293B"/>
          <w:sz w:val="20"/>
        </w:rPr>
        <w:t xml:space="preserve">     * Public order/policy (*openbare orde*); or</w:t>
      </w:r>
    </w:p>
    <w:p>
      <w:pPr>
        <w:spacing w:before="0" w:after="80" w:line="276" w:lineRule="auto"/>
      </w:pPr>
      <w:r>
        <w:rPr>
          <w:rFonts w:ascii="Arial" w:hAnsi="Arial"/>
          <w:color w:val="1E293B"/>
          <w:sz w:val="20"/>
        </w:rPr>
        <w:t xml:space="preserve">     * Good morals and decency (*goede zeden*) (Articles 1335 and 1337 of the Civil Code).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Legal Consequences of Non-Compliance</w:t>
      </w:r>
    </w:p>
    <w:p>
      <w:pPr>
        <w:spacing w:before="0" w:after="80"/>
      </w:pPr>
    </w:p>
    <w:p>
      <w:pPr>
        <w:spacing w:before="0" w:after="80" w:line="276" w:lineRule="auto"/>
      </w:pPr>
      <w:r>
        <w:rPr>
          <w:rFonts w:ascii="Arial" w:hAnsi="Arial"/>
          <w:color w:val="1E293B"/>
          <w:sz w:val="20"/>
        </w:rPr>
        <w:t>| Nature of Defect | Breached Requirement | Legal Status of Contract | Legal Mechanism &amp; Consequences |</w:t>
      </w:r>
    </w:p>
    <w:p>
      <w:pPr>
        <w:spacing w:before="0" w:after="80" w:line="276" w:lineRule="auto"/>
      </w:pPr>
      <w:r>
        <w:rPr>
          <w:rFonts w:ascii="Arial" w:hAnsi="Arial"/>
          <w:color w:val="1E293B"/>
          <w:sz w:val="20"/>
        </w:rPr>
        <w:t>| :--- | :--- | :--- | :--- |</w:t>
      </w:r>
    </w:p>
    <w:p>
      <w:pPr>
        <w:spacing w:before="0" w:after="80" w:line="276" w:lineRule="auto"/>
      </w:pPr>
      <w:r>
        <w:rPr>
          <w:rFonts w:ascii="Arial" w:hAnsi="Arial"/>
          <w:color w:val="1E293B"/>
          <w:sz w:val="20"/>
        </w:rPr>
        <w:t>| **Subjective Defect** | Prong 1 (Consent) or Prong 2 (Capacity) | **Voidable** (*vernietigbaar* / Relative Nullity) | The agreement remains valid and legally binding until annulled by a competent court. Only the protected party (the minor, conserved individual, or the party whose consent was defective) possesses *legal standing* to petition for avoidance (Articles 1446–1456 of the Civil Code). The statutory limitation period to initiate avoidance is 5 years (Article 1454 of the Civil Code). |</w:t>
      </w:r>
    </w:p>
    <w:p>
      <w:pPr>
        <w:spacing w:before="0" w:after="80" w:line="276" w:lineRule="auto"/>
      </w:pPr>
      <w:r>
        <w:rPr>
          <w:rFonts w:ascii="Arial" w:hAnsi="Arial"/>
          <w:color w:val="1E293B"/>
          <w:sz w:val="20"/>
        </w:rPr>
        <w:t>| **Objective Defect** | Prong 3 (Specific Object) or Prong 4 (Lawful Cause) | **Void *ab initio*** (*nietig van rechtswege* / Absolute Nullity) | The agreement is deemed non-existent from its inception. It generates no enforceable legal obligations. The parties must be restored to their pre-contractual status (*restitutio in integrum*). Any court ruling regarding the defect is merely declaratory, not constitutive. |</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Contemporary Statutory Context &amp; Practical Compliance Guidelines</w:t>
      </w:r>
    </w:p>
    <w:p>
      <w:pPr>
        <w:spacing w:before="0" w:after="80" w:line="276" w:lineRule="auto"/>
      </w:pPr>
      <w:r>
        <w:rPr>
          <w:rFonts w:ascii="Arial" w:hAnsi="Arial"/>
          <w:color w:val="1E293B"/>
          <w:sz w:val="20"/>
        </w:rPr>
        <w:t>* **Electronic Contracts (E-Commerce):** Under Article 5 paragraph (1) in conjunction with Articles 17 and 18 of Law No. 11/2008 as amended by Law No. 1/2024 on Electronic Information and Transactions (UU ITE), electronic contracts have full legal force provided they satisfy Article 1320 of the Civil Code. Mutual consent is manifested via certified electronic signatures or clear, binding click-wrap assent mechanisms.</w:t>
      </w:r>
    </w:p>
    <w:p>
      <w:pPr>
        <w:spacing w:before="0" w:after="80" w:line="276" w:lineRule="auto"/>
      </w:pPr>
      <w:r>
        <w:rPr>
          <w:rFonts w:ascii="Arial" w:hAnsi="Arial"/>
          <w:color w:val="1E293B"/>
          <w:sz w:val="20"/>
        </w:rPr>
        <w:t>* **Corporate Authority Due Diligence:** Prior to contract execution, counterparty corporate records must be reviewed (Articles of Association, Board/Shareholder resolutions, and NIB/AHU filings) to verify proper representative authority and preclude assertions of *ultra vires* actions under Law No. 40/2007.</w:t>
      </w:r>
    </w:p>
    <w:p>
      <w:pPr>
        <w:spacing w:before="0" w:after="80" w:line="276" w:lineRule="auto"/>
      </w:pPr>
      <w:r>
        <w:rPr>
          <w:rFonts w:ascii="Arial" w:hAnsi="Arial"/>
          <w:color w:val="1E293B"/>
          <w:sz w:val="20"/>
        </w:rPr>
        <w:t>* **Prohibited Exemption Clauses:** Standardized contracts unilaterally transferring liability are prohibited under Article 18 of Law No. 8/1999 on Consumer Protection; such clauses fail the "lawful cause" test and are statutorily null and void *ab initio*.</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