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"Article 1320 of the Indonesian Civil Code"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05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TEKS STATUTER: PASAL 1320 KITAB UNDANG-UNDANG HUKUM PERDATA (KUHPerdata)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Pasal 1320 KUHPerdata menetapkan empat syarat esensial untuk keabsahan suatu perjanjian/kontrak: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*"Supaya terjadi persetujuan yang sah, perlu dipenuhi empat syarat:*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*1. kesepakatan mereka yang mengikatkan dirinya;*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*2. kecakapan untuk membuat suatu perikatan;*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*3. suatu pokok persoalan tertentu;*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*4. suatu sebab yang tidak terlarang."*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DEKONSTRUKSI DAN ANALISIS DOKTRINAL EMPAT SYARAT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Syarat Subjektif (Menyangkut Para Pihak yang Mengadakan Perjanjian)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**Kesepakatan Mereka yang Mengikatkan Diri (*Consensus / Toestemming*)**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**Pengertian:** Adanya persesuaian kehendak bebas antara para pihak tanpa adanya cacat kehendak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**Cacat Kehendak (Pasal 1321 KUHPerdata):** Kesepakatan menjadi tidak sah apabila diberikan karena: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**Kekhilafan/Kesesatan (*Dwaling* - Pasal 1322 KUHPerdata):** Mengenai hakikat kebendaan atau sifat utama objek perjanjian.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**Paksaan (*Dwang* - Pasal 1323–1327 KUHPerdata):** Tekanan psikologis atau fisik yang menimbulkan ketakutan beralasan pada pihak yang berakal sehat.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**Penipuan (*Bedrog* - Pasal 1328 KUHPerdata):** Tipu muslihat, rangkaian kebohongan, atau representasi keliru yang disengaja.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*(Perkembangan Yurisprudensi):* Penyalahgunaan keadaan (*misbruik van omstandigheden* / *undue influence*).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**Kecakapan untuk Membuat Suatu Perikatan (*Bekwaamheid*)**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**Asas Umum (Pasal 1329 KUHPerdata):** Setiap orang adalah cakap untuk membuat perikatan, kecuali jika undang-undang menyatakannya tidak cakap.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**Pihak yang Tidak Cakap Bertindak (Pasal 1330 KUHPerdata):**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Orang yang belum dewasa (merujuk pada Pasal 330 KUHPerdata [&lt; 21 tahun dan belum menikah]; jo. Pasal 47 UU No. 1/1974 tentang Perkawinan yang menetapkan usia kedewasaan 18 tahun untuk perbuatan hukum tertentu);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Mereka yang ditaruh di bawah pengampuan (*curatele* - Pasal 433 KUHPerdata);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*(Catatan Historis-Yuridis):* Ketentuan Pasal 1330 ayat (3) mengenai perempuan bersuami telah dinyatakan tidak berlaku berdasarkan Surat Edaran Mahkamah Agung (SEMA) No. 3 Tahun 1963 dan Pasal 31 ayat (2) UU No. 1/1974.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Syarat Objektif (Menyangkut Objek dan Isi Perjanjian)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**Suatu Pokok Persoalan Tertentu (*Certum Objectum / Bepaalde Onderwerp*)**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**Pengertian (Pasal 1332–1334 KUHPerdata):** Perjanjian harus memiliki prestasi berupa objek kebendaan atau jasa yang dapat ditentukan jenisnya (*bepaalbaar*), paling sedikit kuantitas dan karakteristiknya dapat diidentifikasi di kemudian hari.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Barang-barang yang diperdagangkan dalam lalu lintas hukum (*in de handel*) dapat menjadi objek perjanjian (Pasal 1332 KUHPerdata), termasuk barang yang baru akan ada di masa depan (Pasal 1334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**Suatu Sebab yang Tidak Terlarang (*Geoorloofde Oorzaak / Causa Licita*)**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**Pengertian (Pasal 1335–1337 KUHPerdata):** Perjanjian tidak didasarkan pada sebab (*causa*) palsu atau terlarang.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**Kriteria Terlarang (Pasal 1337 KUHPerdata):** Suatu sebab dinyatakan terlarang apabila bertentangan dengan: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Peraturan perundang-undangan yang bersifat memaksa (*dwingend recht*);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Ketertiban umum (*openbare orde*);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Kesusilaan yang baik (*goede zeden*).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KONSEKUENSI YURIDIS ATAS KETIDAKPENUHAN SYARAT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Klasifikasi Syarat | Syarat yang Dilanggar | Akibat Hukum | Karakteristik Pembatalan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**Syarat Subjektif** | Kesepakatan atau Kecakapan (Angka 1 &amp; 2) | **Dapat Dibatalkan** (*Vernietigbaar / Voidable*) | Perjanjian tetap sah dan mengikat para pihak selama belum dibatalkan oleh Hakim atas permohonan pihak yang tidak cakap atau pihak yang menjadi korban cacat kehendak. Gugatan pembatalan daluwarsa dalam 5 tahun (Pasal 1454 KUHPerdata).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**Syarat Objektif** | Objek Tertentu atau Sebab yang Halal (Angka 3 &amp; 4) | **Batal Demi Hukum** (*Nietig van rechtswege / Void ab initio*) | Perjanjian dianggap tidak pernah ada sejak awal mula. Perjanjian tidak menimbulkan akibat hukum perdata apa pun tanpa memerlukan gugatan pembatalan konstitutif (hakim hanya mendeklarasikan kebatalannya).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KORELASI DENGAN PASAL 1338 KUHPerdata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Apabila seluruh empat syarat dalam Pasal 1320 terpenuhi secara kumulatif, maka berlakulah asas-asas utama hukum kontrak berdasarkan Pasal 1338 KUHPerdata: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**Asas *Pacta Sunt Servanda* (Pasal 1338 ayat 1):** Perjanjian yang dibuat secara sah berlaku sebagai undang-undang bagi mereka yang membuatnya.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**Asas Kepastian/Tidak Dapat Ditarik Kembali Secara Sepihak (Pasal 1338 ayat 2):** Perjanjian tidak dapat ditarik kembali selain dengan kesepakatan kedua belah pihak atau alasan sah menurut undang-undang.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**Asas Itikad Baik (*Te Goeder Trouw* / Good Faith - Pasal 1338 ayat 3):** Perjanjian harus dilaksanakan dengan itikad baik (objektif dan subjektif).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PANDUAN KEPATUHAN PRAKTIS DALAM PERANCANGAN KONTRAK (CONTRACT DRAFTING)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**Pemeriksaan Kapasitas Hukum (*Legal Capacity Due Diligence*):**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Verifikasi usia dan status perdata penandatangan perorangan (KTP, persetujuan pasangan kawin jika ada pengikatan harta bersama berdasarkan Pasal 36 UU No. 1/1974).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Verifikasi anggaran dasar, kewenangan direksi, dan persetujuan organ perseroan (Rapat Umum Pemegang Saham atau Dewan Komisaris) merujuk pada UU No. 40/2007 tentang Perseroan Terbatas.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**Pemberian Persetujuan yang Terbebas dari Cacat Kehendak:**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Pastikan tidak terdapat klausula eksonerasi/eksepsi yang tidak wajar yang mengarah pada penyalahgunaan keadaan (*undue influence*), serta beri waktu yang wajar bagi pihak lawan untuk mempelajari naskah perjanjian.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**Spesifikasi Objek Prestasi yang Jelas:**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Uraikan ruang lingkup barang, jasa, hak, atau kewajiban secara spesifik (identitas aset, kualitas, tolok ukur kinerja/KPI, batas waktu, dan formula penetapan harga).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**Penyelarasan Legalitas (*Legality &amp; Public Policy Compliance*):**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Pastikan substansi perjanjian tidak melanggar regulasi sektoral (misalnya larangan praktik monopoli dalam UU No. 5/1999, perlindungan konsumen dalam UU No. 8/1999, ketentuan mata uang Rupiah dalam UU No. 7/2011, serta ketentuan ketenagakerjaan dalam UU No. 6/2023).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STATUTORY TEXT: ARTICLE 1320 OF THE INDONESIAN CIVIL CODE (KUHPerdata)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Article 1320 of the Indonesian Civil Code establishes four cumulative and essential prerequisites for the legal validity of an agreement/contract: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*"In order to be valid, an agreement must satisfy four conditions:*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*1. the consent of the individuals bound thereby;*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*2. the legal capacity to enter into an obligation;*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*3. a specific subject matter;*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*4. a lawful cause."*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DOCTRINAL DECONSTRUCTION AND ANALYSIS OF THE FOUR PREREQUISITES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Subjective Requirements (Pertaining to the Contracting Parties)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**Consent of the Parties (*Consensus / Toestemming*)**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A mutual meeting of the minds and autonomous agreement between the parties, free from vices of consent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**Vices of Consent (Article 1321 of the Indonesian Civil Code):** Consent is rendered legally defective if granted on the grounds of: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**Mistake/Error (*Dwaling* - Article 1322):** Pertaining to the fundamental substance or principal qualities of the subject matter.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**Duress/Coercion (*Dwang* - Articles 1323–1327):** Physical or psychological pressure inducing reasonable fear in a person of sound mind.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**Fraud/Deceit (*Bedrog* - Article 1328):** Intentional contrivances, artifices, misrepresentations, or fraudulent schemes.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*(Jurisprudential Development):* Undue influence / abuse of circumstances (*misbruik van omstandigheden*).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**Legal Capacity to Contract (*Bekwaamheid*)**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**General Principle (Article 1329):** Every person is deemed legally capable of entering into obligations, unless expressly declared incapacitated by law.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**Legally Incapacitated Persons (Article 1330):**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Minors (under Article 330 of the Civil Code [&lt; 21 years of age and unmarried]; read in conjunction with Article 47 of Law No. 1/1974 on Marriage, which recognizes 18 years as the threshold of legal adulthood for specific legal actions);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Individuals placed under curatorship/guardianship (*curatele* - Article 433 of the Civil Code);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*(Historical-Legal Note):* Article 1330(3) concerning married women was rendered obsolete and invalid pursuant to Supreme Court Circular (SEMA) No. 3 of 1963 and Article 31(2) of Law No. 1/1974.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Objective Requirements (Pertaining to the Subject Matter and Cause)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 Specific Subject Matter (*Certum Objectum / Bepaalde Onderwerp*)**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 (Articles 1332–1334):** The contract must specify an ascertainable performance consisting of goods, rights, or services whose genus and nature are determinable (*bepaalbaar*), with quantities identifiable or measurable in due course.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Only assets capable of being commercially traded within legal commerce (*in de handel*) may constitute a valid contractual object (Article 1332), which includes future assets and contingent rights (Article 1334).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 Lawful Cause (*Geoorloofde Oorzaak / Causa Licita*)**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 (Articles 1335–1337):** The contract cannot be founded upon an absent, simulated, or prohibited underlying reason/purpose (*causa*).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**Prohibition Threshold (Article 1337):** A cause is deemed unlawful if it contravenes: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Mandatory statutory provisions (*dwingend recht*);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Public order (*openbare orde*);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Good morals (*goede zeden*).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LEGAL CONSEQUENCES OF NON-COMPLIANCE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Requirement Classification | Non-Compliant Element | Legal Consequence | Procedural Characteristics of Invalidation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:--- | :--- | :--- | :---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**Subjective Requirements** | Consent or Legal Capacity (Items 1 &amp; 2) | **Voidable** (*Vernietigbaar / Dapat Dibatalkan*) | The contract remains legally valid and binding on all parties unless and until annulled by a competent court upon the petition of the incapacitated party or the victim of defective consent. The statute of limitations for annulment is 5 years (Article 1454). |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| **Objective Requirements** | Specific Object or Lawful Cause (Items 3 &amp; 4) | **Null and Void *Ab Initio*** (*Nietig van rechtswege / Batal Demi Hukum*) | The contract is deemed never to have legally existed from inception. It produces zero binding legal rights or obligations *ipso jure*, requiring no constitutive annulment claim (the court merely issues a declaratory judgment of nullity). |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STATUTORY INTERACTION WITH ARTICLE 1338 (INDONESIAN CIVIL CODE)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Upon full and cumulative satisfaction of Article 1320, the foundational doctrines of Indonesian contract law codified in Article 1338 are activated: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**Principle of *Pacta Sunt Servanda* (Article 1338, Paragraph 1):** All agreements validly executed operate with the force of law as between the contracting parties.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**Principle of Irrevocability (Article 1338, Paragraph 2):** Contracts cannot be unilaterally revoked, except by mutual agreement or statutory justification.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**Principle of Good Faith (*Te Goeder Trouw* - Article 1338, Paragraph 3):** Contracts must be executed and performed in good faith (subjective and objective standards).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ACTIONABLE COMPLIANCE GUIDANCE FOR CONTRACT DRAFTING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**Capacity Due Diligence:**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Verify individual signatory legal age and marital status (ID cards, spousal consents for dispositions of marital community property under Article 36 of Law No. 1/1974).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For legal entities, examine articles of association, director authority, and requisite corporate approvals (Board of Commissioners or General Meeting of Shareholders consent) under Law No. 40/2007 on Limited Liability Companies.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**Ensuring Flawless Consensus:**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Avoid unconscionable exculpatory clauses indicating an abuse of bargaining position (*undue influence*), and provide clear, adequate periods for independent legal review prior to signature.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**Definitive Subject Matter Identification:**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Articulate with granular precision the scope of work, technical specifications, deliverable schedules, Key Performance Indicators (KPIs), assets, and price/consideration determination formulas.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**Mandatory Statutory and Public Policy Alignment:**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Ensure that transaction structures do not contravene prevailing mandatory laws (e.g., anti-monopoly rules under Law No. 5/1999, consumer protection under Law No. 8/1999, the mandatory use of the Rupiah currency under Law No. 7/2011, and labor statutory baselines under Law No. 6/2023).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