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color w:val="0F172A"/>
          <w:sz w:val="28"/>
        </w:rPr>
        <w:t>hukum.live</w:t>
      </w:r>
    </w:p>
    <w:p>
      <w:pPr>
        <w:spacing w:before="0" w:after="160"/>
        <w:jc w:val="center"/>
      </w:pPr>
      <w:r>
        <w:rPr>
          <w:rFonts w:ascii="Arial" w:hAnsi="Arial"/>
          <w:b/>
          <w:color w:val="B45309"/>
          <w:sz w:val="22"/>
        </w:rPr>
        <w:t>Statutory Laws &amp; Regulations Lookup: "Article 1320 of the Indonesian Civil Code"</w:t>
      </w:r>
    </w:p>
    <w:p>
      <w:pPr>
        <w:spacing w:before="0" w:after="360"/>
        <w:jc w:val="center"/>
      </w:pPr>
      <w:r>
        <w:rPr>
          <w:rFonts w:ascii="Arial" w:hAnsi="Arial"/>
          <w:color w:val="64748B"/>
          <w:sz w:val="17"/>
        </w:rPr>
        <w:t>CATEGORY: CORPORATE &amp; INVESTMENT | DUAL LANGUAGE: ID ↔ ENGLISH | 03 November 2026</w:t>
      </w:r>
    </w:p>
    <w:p>
      <w:pPr>
        <w:spacing w:before="280" w:after="120"/>
      </w:pPr>
      <w:r>
        <w:rPr>
          <w:rFonts w:ascii="Arial" w:hAnsi="Arial"/>
          <w:b/>
          <w:color w:val="0F172A"/>
          <w:sz w:val="24"/>
        </w:rPr>
        <w:t>1. Analisis Hukum &amp; Rujukan Statuta (Bahasa Indonesia)</w:t>
      </w:r>
    </w:p>
    <w:p>
      <w:pPr>
        <w:spacing w:before="160" w:after="80" w:line="276" w:lineRule="auto"/>
      </w:pPr>
      <w:r>
        <w:rPr>
          <w:rFonts w:ascii="Arial" w:hAnsi="Arial"/>
          <w:b/>
          <w:color w:val="0F172A"/>
          <w:sz w:val="21"/>
        </w:rPr>
        <w:t>ANALISIS HUKUM &amp; PASAL TERKAIT (BAHASA INDONESIA)</w:t>
      </w:r>
    </w:p>
    <w:p>
      <w:pPr>
        <w:spacing w:before="0" w:after="80"/>
      </w:pPr>
    </w:p>
    <w:p>
      <w:pPr>
        <w:spacing w:before="160" w:after="80" w:line="276" w:lineRule="auto"/>
      </w:pPr>
      <w:r>
        <w:rPr>
          <w:rFonts w:ascii="Arial" w:hAnsi="Arial"/>
          <w:b/>
          <w:color w:val="0F172A"/>
          <w:sz w:val="21"/>
        </w:rPr>
        <w:t>#### 1. Teks Otentik Pasal 1320 Kitab Undang-Undang Hukum Perdata (KUHPerdata / *Burgerlijk Wetboek*)</w:t>
      </w:r>
    </w:p>
    <w:p>
      <w:pPr>
        <w:spacing w:before="0" w:after="80" w:line="276" w:lineRule="auto"/>
      </w:pPr>
      <w:r>
        <w:rPr>
          <w:rFonts w:ascii="Arial" w:hAnsi="Arial"/>
          <w:color w:val="1E293B"/>
          <w:sz w:val="20"/>
        </w:rPr>
        <w:t>Pasal 1320 KUHPerdata menetapkan empat syarat esensial demi sahnya suatu perjanjian:</w:t>
      </w:r>
    </w:p>
    <w:p>
      <w:pPr>
        <w:spacing w:before="0" w:after="80" w:line="276" w:lineRule="auto"/>
      </w:pPr>
      <w:r>
        <w:rPr>
          <w:rFonts w:ascii="Arial" w:hAnsi="Arial"/>
          <w:color w:val="1E293B"/>
          <w:sz w:val="20"/>
        </w:rPr>
        <w:t>&gt; *"Untuk sahnya suatu perjanjian diperlukan empat syarat:*</w:t>
      </w:r>
    </w:p>
    <w:p>
      <w:pPr>
        <w:spacing w:before="0" w:after="80" w:line="276" w:lineRule="auto"/>
      </w:pPr>
      <w:r>
        <w:rPr>
          <w:rFonts w:ascii="Arial" w:hAnsi="Arial"/>
          <w:color w:val="1E293B"/>
          <w:sz w:val="20"/>
        </w:rPr>
        <w:t>&gt; 1. *kesepakatan mereka yang mengikatkan dirinya;*</w:t>
      </w:r>
    </w:p>
    <w:p>
      <w:pPr>
        <w:spacing w:before="0" w:after="80" w:line="276" w:lineRule="auto"/>
      </w:pPr>
      <w:r>
        <w:rPr>
          <w:rFonts w:ascii="Arial" w:hAnsi="Arial"/>
          <w:color w:val="1E293B"/>
          <w:sz w:val="20"/>
        </w:rPr>
        <w:t>&gt; 2. *kecakapan untuk membuat suatu perikatan;*</w:t>
      </w:r>
    </w:p>
    <w:p>
      <w:pPr>
        <w:spacing w:before="0" w:after="80" w:line="276" w:lineRule="auto"/>
      </w:pPr>
      <w:r>
        <w:rPr>
          <w:rFonts w:ascii="Arial" w:hAnsi="Arial"/>
          <w:color w:val="1E293B"/>
          <w:sz w:val="20"/>
        </w:rPr>
        <w:t>&gt; 3. *suatu pokok persoalan tertentu;*</w:t>
      </w:r>
    </w:p>
    <w:p>
      <w:pPr>
        <w:spacing w:before="0" w:after="80" w:line="276" w:lineRule="auto"/>
      </w:pPr>
      <w:r>
        <w:rPr>
          <w:rFonts w:ascii="Arial" w:hAnsi="Arial"/>
          <w:color w:val="1E293B"/>
          <w:sz w:val="20"/>
        </w:rPr>
        <w:t>&gt; 4. *suatu sebab yang tidak terlarang."*</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2. Dekonstruksi Doktrinal dan Analisis Yuridis</w:t>
      </w:r>
    </w:p>
    <w:p>
      <w:pPr>
        <w:spacing w:before="0" w:after="80"/>
      </w:pPr>
    </w:p>
    <w:p>
      <w:pPr>
        <w:spacing w:before="0" w:after="80" w:line="276" w:lineRule="auto"/>
      </w:pPr>
      <w:r>
        <w:rPr>
          <w:rFonts w:ascii="Arial" w:hAnsi="Arial"/>
          <w:color w:val="1E293B"/>
          <w:sz w:val="20"/>
        </w:rPr>
        <w:t>Keempat unsur dalam Pasal 1320 KUHPerdata dibagi ke dalam dua kategori yuridis dengan konsekuensi hukum yang mutlak berbeda:</w:t>
      </w:r>
    </w:p>
    <w:p>
      <w:pPr>
        <w:spacing w:before="0" w:after="80"/>
      </w:pPr>
    </w:p>
    <w:p>
      <w:pPr>
        <w:spacing w:before="160" w:after="80" w:line="276" w:lineRule="auto"/>
      </w:pPr>
      <w:r>
        <w:rPr>
          <w:rFonts w:ascii="Arial" w:hAnsi="Arial"/>
          <w:b/>
          <w:color w:val="0F172A"/>
          <w:sz w:val="21"/>
        </w:rPr>
        <w:t>##### A. Syarat Subjektif (Menyangkut Para Pihak / Subjek Hukum)</w:t>
      </w:r>
    </w:p>
    <w:p>
      <w:pPr>
        <w:spacing w:before="0" w:after="80" w:line="276" w:lineRule="auto"/>
      </w:pPr>
      <w:r>
        <w:rPr>
          <w:rFonts w:ascii="Arial" w:hAnsi="Arial"/>
          <w:color w:val="1E293B"/>
          <w:sz w:val="20"/>
        </w:rPr>
        <w:t>1. **Kesepakatan Para Pihak (*Toestemming / Consensus*)**</w:t>
      </w:r>
    </w:p>
    <w:p>
      <w:pPr>
        <w:spacing w:before="0" w:after="80" w:line="276" w:lineRule="auto"/>
      </w:pPr>
      <w:r>
        <w:rPr>
          <w:rFonts w:ascii="Arial" w:hAnsi="Arial"/>
          <w:color w:val="1E293B"/>
          <w:sz w:val="20"/>
        </w:rPr>
        <w:t xml:space="preserve">   * **Definisi:** Persesuaian kehendak yang bebas antara para pihak tanpa adanya distorsi kehendak.</w:t>
      </w:r>
    </w:p>
    <w:p>
      <w:pPr>
        <w:spacing w:before="0" w:after="80" w:line="276" w:lineRule="auto"/>
      </w:pPr>
      <w:r>
        <w:rPr>
          <w:rFonts w:ascii="Arial" w:hAnsi="Arial"/>
          <w:color w:val="1E293B"/>
          <w:sz w:val="20"/>
        </w:rPr>
        <w:t xml:space="preserve">   * **Ketentuan Terkait:** Pasal 1321 KUHPerdata menegaskan bahwa kesepakatan tidak sah apabila diberikan karena kekhilafan (*dwaling*), paksaan (*dwang*), atau penipuan (*bedrog*). Perkembangan doktrin hukum modern juga mengakui penyalahgunaan keadaan (*misbruik van omstandigheden*) sebagai cacat kehendak.</w:t>
      </w:r>
    </w:p>
    <w:p>
      <w:pPr>
        <w:spacing w:before="0" w:after="80" w:line="276" w:lineRule="auto"/>
      </w:pPr>
      <w:r>
        <w:rPr>
          <w:rFonts w:ascii="Arial" w:hAnsi="Arial"/>
          <w:color w:val="1E293B"/>
          <w:sz w:val="20"/>
        </w:rPr>
        <w:t>2. **Kecakapan Bertindak Menurut Hukum (*Bekwaamheid / Legal Capacity*)**</w:t>
      </w:r>
    </w:p>
    <w:p>
      <w:pPr>
        <w:spacing w:before="0" w:after="80" w:line="276" w:lineRule="auto"/>
      </w:pPr>
      <w:r>
        <w:rPr>
          <w:rFonts w:ascii="Arial" w:hAnsi="Arial"/>
          <w:color w:val="1E293B"/>
          <w:sz w:val="20"/>
        </w:rPr>
        <w:t xml:space="preserve">   * **Definisi:** Wewenang hukum seseorang untuk melakukan perbuatan hukum yang mengikat dirinya sendiri.</w:t>
      </w:r>
    </w:p>
    <w:p>
      <w:pPr>
        <w:spacing w:before="0" w:after="80" w:line="276" w:lineRule="auto"/>
      </w:pPr>
      <w:r>
        <w:rPr>
          <w:rFonts w:ascii="Arial" w:hAnsi="Arial"/>
          <w:color w:val="1E293B"/>
          <w:sz w:val="20"/>
        </w:rPr>
        <w:t xml:space="preserve">   * **Ketentuan Terkait:** Berdasarkan Pasal 1330 KUHPerdata, pihak yang tidak cakap mencakup:</w:t>
      </w:r>
    </w:p>
    <w:p>
      <w:pPr>
        <w:spacing w:before="0" w:after="80" w:line="276" w:lineRule="auto"/>
      </w:pPr>
      <w:r>
        <w:rPr>
          <w:rFonts w:ascii="Arial" w:hAnsi="Arial"/>
          <w:color w:val="1E293B"/>
          <w:sz w:val="20"/>
        </w:rPr>
        <w:t xml:space="preserve">     * Anak di bawah umur (belum berusia 18 tahun atau belum pernah kawin, merujuk Pasal 330 KUHPerdata jo. Pasal 47 UU No. 1/1974 tentang Perkawinan).</w:t>
      </w:r>
    </w:p>
    <w:p>
      <w:pPr>
        <w:spacing w:before="0" w:after="80" w:line="276" w:lineRule="auto"/>
      </w:pPr>
      <w:r>
        <w:rPr>
          <w:rFonts w:ascii="Arial" w:hAnsi="Arial"/>
          <w:color w:val="1E293B"/>
          <w:sz w:val="20"/>
        </w:rPr>
        <w:t xml:space="preserve">     * Orang yang ditaruh di bawah pengampuan (*curatele* / kuratela).</w:t>
      </w:r>
    </w:p>
    <w:p>
      <w:pPr>
        <w:spacing w:before="0" w:after="80" w:line="276" w:lineRule="auto"/>
      </w:pPr>
      <w:r>
        <w:rPr>
          <w:rFonts w:ascii="Arial" w:hAnsi="Arial"/>
          <w:color w:val="1E293B"/>
          <w:sz w:val="20"/>
        </w:rPr>
        <w:t xml:space="preserve">     * Pihak tertentu yang dilarang undang-undang (historis: wanita bersuami, ketentuan mana telah dinyatakan tidak berlaku oleh SEMA No. 3/1963).</w:t>
      </w:r>
    </w:p>
    <w:p>
      <w:pPr>
        <w:spacing w:before="0" w:after="80" w:line="276" w:lineRule="auto"/>
      </w:pPr>
      <w:r>
        <w:rPr>
          <w:rFonts w:ascii="Arial" w:hAnsi="Arial"/>
          <w:color w:val="1E293B"/>
          <w:sz w:val="20"/>
        </w:rPr>
        <w:t xml:space="preserve">     * Untuk subjek hukum badan hukum (*rechtspersoon*), kecakapan direpresentasikan oleh Direksi atau perwakilan sah berdasarkan Anggaran Dasar perseroan dan Undang-Undang No. 40 Tahun 2007 tentang Perseroan Terbatas (UU PT).</w:t>
      </w:r>
    </w:p>
    <w:p>
      <w:pPr>
        <w:spacing w:before="0" w:after="80"/>
      </w:pPr>
    </w:p>
    <w:p>
      <w:pPr>
        <w:spacing w:before="160" w:after="80" w:line="276" w:lineRule="auto"/>
      </w:pPr>
      <w:r>
        <w:rPr>
          <w:rFonts w:ascii="Arial" w:hAnsi="Arial"/>
          <w:b/>
          <w:color w:val="0F172A"/>
          <w:sz w:val="21"/>
        </w:rPr>
        <w:t>##### B. Syarat Objektif (Menyangkut Objek dan Kausa Perjanjian)</w:t>
      </w:r>
    </w:p>
    <w:p>
      <w:pPr>
        <w:spacing w:before="0" w:after="80" w:line="276" w:lineRule="auto"/>
      </w:pPr>
      <w:r>
        <w:rPr>
          <w:rFonts w:ascii="Arial" w:hAnsi="Arial"/>
          <w:color w:val="1E293B"/>
          <w:sz w:val="20"/>
        </w:rPr>
        <w:t>3. **Suatu Pokok Persoalan Tertentu (*Bepaalde Onderwerp / Certain Object*)**</w:t>
      </w:r>
    </w:p>
    <w:p>
      <w:pPr>
        <w:spacing w:before="0" w:after="80" w:line="276" w:lineRule="auto"/>
      </w:pPr>
      <w:r>
        <w:rPr>
          <w:rFonts w:ascii="Arial" w:hAnsi="Arial"/>
          <w:color w:val="1E293B"/>
          <w:sz w:val="20"/>
        </w:rPr>
        <w:t xml:space="preserve">   * **Definisi:** Objek perikatan harus dapat ditentukan jenisnya (*determinate* atau *determinable*).</w:t>
      </w:r>
    </w:p>
    <w:p>
      <w:pPr>
        <w:spacing w:before="0" w:after="80" w:line="276" w:lineRule="auto"/>
      </w:pPr>
      <w:r>
        <w:rPr>
          <w:rFonts w:ascii="Arial" w:hAnsi="Arial"/>
          <w:color w:val="1E293B"/>
          <w:sz w:val="20"/>
        </w:rPr>
        <w:t xml:space="preserve">   * **Ketentuan Terkait:** Merujuk Pasal 1332 KUHPerdata, hanya barang-barang yang dapat diperdagangkan yang dapat menjadi pokok perjanjian. Pasal 1333 KUHPerdata mewajibkan bahwa kuantitas barang sekurang-kurangnya harus dapat ditentukan di kemudian hari.</w:t>
      </w:r>
    </w:p>
    <w:p>
      <w:pPr>
        <w:spacing w:before="0" w:after="80" w:line="276" w:lineRule="auto"/>
      </w:pPr>
      <w:r>
        <w:rPr>
          <w:rFonts w:ascii="Arial" w:hAnsi="Arial"/>
          <w:color w:val="1E293B"/>
          <w:sz w:val="20"/>
        </w:rPr>
        <w:t>4. **Sebab yang Tidak Terlarang (*Geoorloofde Oorzaak / Lawful Cause*)**</w:t>
      </w:r>
    </w:p>
    <w:p>
      <w:pPr>
        <w:spacing w:before="0" w:after="80" w:line="276" w:lineRule="auto"/>
      </w:pPr>
      <w:r>
        <w:rPr>
          <w:rFonts w:ascii="Arial" w:hAnsi="Arial"/>
          <w:color w:val="1E293B"/>
          <w:sz w:val="20"/>
        </w:rPr>
        <w:t xml:space="preserve">   * **Definisi:** Tujuan atau kausa hukum (*causa*) dibuatnya perjanjian tidak boleh melanggar tatanan hukum substantif.</w:t>
      </w:r>
    </w:p>
    <w:p>
      <w:pPr>
        <w:spacing w:before="0" w:after="80" w:line="276" w:lineRule="auto"/>
      </w:pPr>
      <w:r>
        <w:rPr>
          <w:rFonts w:ascii="Arial" w:hAnsi="Arial"/>
          <w:color w:val="1E293B"/>
          <w:sz w:val="20"/>
        </w:rPr>
        <w:t xml:space="preserve">   * **Ketentuan Terkait:** Pasal 1335 jo. Pasal 1337 KUHPerdata menetapkan bahwa suatu kausa adalah terlarang apabila dilarang oleh undang-undang, bertentangan dengan kesusilaan baik (*goede zeden*), atau bertentangan dengan ketertiban umum (*openbare orde*).</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3. Konsekuensi Hukum Pelanggaran Syarat Keabsahan</w:t>
      </w:r>
    </w:p>
    <w:p>
      <w:pPr>
        <w:spacing w:before="0" w:after="80"/>
      </w:pPr>
    </w:p>
    <w:p>
      <w:pPr>
        <w:spacing w:before="0" w:after="80" w:line="276" w:lineRule="auto"/>
      </w:pPr>
      <w:r>
        <w:rPr>
          <w:rFonts w:ascii="Arial" w:hAnsi="Arial"/>
          <w:color w:val="1E293B"/>
          <w:sz w:val="20"/>
        </w:rPr>
        <w:t>| Kategori Syarat | Unsur Pasal 1320 | Akibat Hukum Pelanggaran | Mekanisme Penyelesaian |</w:t>
      </w:r>
    </w:p>
    <w:p>
      <w:pPr>
        <w:spacing w:before="0" w:after="80" w:line="276" w:lineRule="auto"/>
      </w:pPr>
      <w:r>
        <w:rPr>
          <w:rFonts w:ascii="Arial" w:hAnsi="Arial"/>
          <w:color w:val="1E293B"/>
          <w:sz w:val="20"/>
        </w:rPr>
        <w:t>| :--- | :--- | :--- | :--- |</w:t>
      </w:r>
    </w:p>
    <w:p>
      <w:pPr>
        <w:spacing w:before="0" w:after="80" w:line="276" w:lineRule="auto"/>
      </w:pPr>
      <w:r>
        <w:rPr>
          <w:rFonts w:ascii="Arial" w:hAnsi="Arial"/>
          <w:color w:val="1E293B"/>
          <w:sz w:val="20"/>
        </w:rPr>
        <w:t>| **Syarat Subjektif** | 1. Kesepakatan&lt;br&gt;2. Kecakapan | **Dapat Dibatalkan (*Vernietigbaar* / Voidable)** | Kontrak tetap sah dan mengikat para pihak selama belum dibatalkan oleh Hakim atas permohonan pihak yang tidak cakap atau pihak yang kehendaknya cacat (Pasal 1454 KUHPerdata). |</w:t>
      </w:r>
    </w:p>
    <w:p>
      <w:pPr>
        <w:spacing w:before="0" w:after="80" w:line="276" w:lineRule="auto"/>
      </w:pPr>
      <w:r>
        <w:rPr>
          <w:rFonts w:ascii="Arial" w:hAnsi="Arial"/>
          <w:color w:val="1E293B"/>
          <w:sz w:val="20"/>
        </w:rPr>
        <w:t>| **Syarat Objektif** | 3. Hal Tertentu&lt;br&gt;4. Kausa yang Halal | **Batal Demi Hukum (*Nietig van Rechtswege* / Null and Void *ab initio*)** | Kontrak dianggap tidak pernah ada sejak awal. Tidak ada hak dan kewajiban yang lahir; pemulihan ke keadaan semula (*restitutio in integrum*). |</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4. Keterkaitan Asas Perjanjian Lainnya</w:t>
      </w:r>
    </w:p>
    <w:p>
      <w:pPr>
        <w:spacing w:before="0" w:after="80" w:line="276" w:lineRule="auto"/>
      </w:pPr>
      <w:r>
        <w:rPr>
          <w:rFonts w:ascii="Arial" w:hAnsi="Arial"/>
          <w:color w:val="1E293B"/>
          <w:sz w:val="20"/>
        </w:rPr>
        <w:t>* **Pasal 1338 KUHPerdata:** Asas kebebasan berkontrak (*freedom of contract*) dan asas *pacta sunt servanda* (perjanjian yang dibuat secara sah berlaku sebagai undang-undang bagi mereka yang membuatnya) hanya berlaku mutlak **apabila** perjanjian tersebut telah memenuhi seluruh syarat keabsahan Pasal 1320 KUHPerdata.</w:t>
      </w:r>
    </w:p>
    <w:p>
      <w:pPr>
        <w:spacing w:before="0" w:after="80" w:line="276" w:lineRule="auto"/>
      </w:pPr>
      <w:r>
        <w:rPr>
          <w:rFonts w:ascii="Arial" w:hAnsi="Arial"/>
          <w:color w:val="1E293B"/>
          <w:sz w:val="20"/>
        </w:rPr>
        <w:t>* **Pelaksanaan Kontrak:** Wajib dilaksanakan dengan itikad baik (*te goeder trouw* / Pasal 1338 ayat (3) KUHPerdata).</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5. Panduan Kepatuhan &amp; Perancangan Kontrak (*Drafting Directives*)</w:t>
      </w:r>
    </w:p>
    <w:p>
      <w:pPr>
        <w:spacing w:before="0" w:after="80" w:line="276" w:lineRule="auto"/>
      </w:pPr>
      <w:r>
        <w:rPr>
          <w:rFonts w:ascii="Arial" w:hAnsi="Arial"/>
          <w:color w:val="1E293B"/>
          <w:sz w:val="20"/>
        </w:rPr>
        <w:t>1. **Verifikasi Kewenangan Formal (Kecakapan):**</w:t>
      </w:r>
    </w:p>
    <w:p>
      <w:pPr>
        <w:spacing w:before="0" w:after="80" w:line="276" w:lineRule="auto"/>
      </w:pPr>
      <w:r>
        <w:rPr>
          <w:rFonts w:ascii="Arial" w:hAnsi="Arial"/>
          <w:color w:val="1E293B"/>
          <w:sz w:val="20"/>
        </w:rPr>
        <w:t xml:space="preserve">   * Untuk individu: Periksa identitas (KTP/Paspor), status perkawinan, dan ketentuan harta bersama (Pasal 36 UU No. 1/1974 mewajibkan persetujuan pasangan untuk penjaminan/pengalihan harta bersama).</w:t>
      </w:r>
    </w:p>
    <w:p>
      <w:pPr>
        <w:spacing w:before="0" w:after="80" w:line="276" w:lineRule="auto"/>
      </w:pPr>
      <w:r>
        <w:rPr>
          <w:rFonts w:ascii="Arial" w:hAnsi="Arial"/>
          <w:color w:val="1E293B"/>
          <w:sz w:val="20"/>
        </w:rPr>
        <w:t xml:space="preserve">   * Untuk entitas korporasi: Teliti Akta Pendirian, Anggaran Dasar terakhir, Surat Keputusan Kemenkumham, serta persetujuan organ korporasi (RUPS/Dewan Komisaris) sesuai batas kewenangan Direksi.</w:t>
      </w:r>
    </w:p>
    <w:p>
      <w:pPr>
        <w:spacing w:before="0" w:after="80" w:line="276" w:lineRule="auto"/>
      </w:pPr>
      <w:r>
        <w:rPr>
          <w:rFonts w:ascii="Arial" w:hAnsi="Arial"/>
          <w:color w:val="1E293B"/>
          <w:sz w:val="20"/>
        </w:rPr>
        <w:t>2. **Mitigasi Cacat Kehendak (Kesepakatan):**</w:t>
      </w:r>
    </w:p>
    <w:p>
      <w:pPr>
        <w:spacing w:before="0" w:after="80" w:line="276" w:lineRule="auto"/>
      </w:pPr>
      <w:r>
        <w:rPr>
          <w:rFonts w:ascii="Arial" w:hAnsi="Arial"/>
          <w:color w:val="1E293B"/>
          <w:sz w:val="20"/>
        </w:rPr>
        <w:t xml:space="preserve">   * Cantumkan klausul *inducement*, representasi, dan jaminan (*representations and warranties*) bahwa para pihak menandatangani kontrak secara bebas, sukarela, dan didampingi penasihat hukum.</w:t>
      </w:r>
    </w:p>
    <w:p>
      <w:pPr>
        <w:spacing w:before="0" w:after="80" w:line="276" w:lineRule="auto"/>
      </w:pPr>
      <w:r>
        <w:rPr>
          <w:rFonts w:ascii="Arial" w:hAnsi="Arial"/>
          <w:color w:val="1E293B"/>
          <w:sz w:val="20"/>
        </w:rPr>
        <w:t>3. **Presisi Deskripsi Objek:**</w:t>
      </w:r>
    </w:p>
    <w:p>
      <w:pPr>
        <w:spacing w:before="0" w:after="80" w:line="276" w:lineRule="auto"/>
      </w:pPr>
      <w:r>
        <w:rPr>
          <w:rFonts w:ascii="Arial" w:hAnsi="Arial"/>
          <w:color w:val="1E293B"/>
          <w:sz w:val="20"/>
        </w:rPr>
        <w:t xml:space="preserve">   * Jabarkan hak, kewajiban, dan spesifikasi prestasi secara jelas, terukur, dan detail guna menghindari ambiguitas penafsiran.</w:t>
      </w:r>
    </w:p>
    <w:p>
      <w:pPr>
        <w:spacing w:before="0" w:after="80" w:line="276" w:lineRule="auto"/>
      </w:pPr>
      <w:r>
        <w:rPr>
          <w:rFonts w:ascii="Arial" w:hAnsi="Arial"/>
          <w:color w:val="1E293B"/>
          <w:sz w:val="20"/>
        </w:rPr>
        <w:t>4. **Uji Kepatuhan Regulasi (Kausa Halal):**</w:t>
      </w:r>
    </w:p>
    <w:p>
      <w:pPr>
        <w:spacing w:before="0" w:after="80" w:line="276" w:lineRule="auto"/>
      </w:pPr>
      <w:r>
        <w:rPr>
          <w:rFonts w:ascii="Arial" w:hAnsi="Arial"/>
          <w:color w:val="1E293B"/>
          <w:sz w:val="20"/>
        </w:rPr>
        <w:t xml:space="preserve">   * Pastikan substansi perjanjian tidak melanggar ketentuan hukum yang bersifat memaksa (*dwingend recht*), termasuk regulasi sektoral, devisa, perpajakan, serta persyaratan ketertiban umum.</w:t>
      </w:r>
    </w:p>
    <w:p>
      <w:pPr>
        <w:spacing w:before="280" w:after="120"/>
      </w:pPr>
      <w:r>
        <w:rPr>
          <w:rFonts w:ascii="Arial" w:hAnsi="Arial"/>
          <w:b/>
          <w:color w:val="B45309"/>
          <w:sz w:val="24"/>
        </w:rPr>
        <w:t>2. Parallel Statutory Analysis &amp; Translation (English)</w:t>
      </w:r>
    </w:p>
    <w:p>
      <w:pPr>
        <w:spacing w:before="160" w:after="80" w:line="276" w:lineRule="auto"/>
      </w:pPr>
      <w:r>
        <w:rPr>
          <w:rFonts w:ascii="Arial" w:hAnsi="Arial"/>
          <w:b/>
          <w:color w:val="0F172A"/>
          <w:sz w:val="21"/>
        </w:rPr>
        <w:t>LEGAL ANALYSIS &amp; STATUTORY PROVISIONS (ENGLISH)</w:t>
      </w:r>
    </w:p>
    <w:p>
      <w:pPr>
        <w:spacing w:before="0" w:after="80"/>
      </w:pPr>
    </w:p>
    <w:p>
      <w:pPr>
        <w:spacing w:before="160" w:after="80" w:line="276" w:lineRule="auto"/>
      </w:pPr>
      <w:r>
        <w:rPr>
          <w:rFonts w:ascii="Arial" w:hAnsi="Arial"/>
          <w:b/>
          <w:color w:val="0F172A"/>
          <w:sz w:val="21"/>
        </w:rPr>
        <w:t>#### 1. Authentic Text of Article 1320 of the Indonesian Civil Code (KUHPerdata / *Burgerlijk Wetboek*)</w:t>
      </w:r>
    </w:p>
    <w:p>
      <w:pPr>
        <w:spacing w:before="0" w:after="80" w:line="276" w:lineRule="auto"/>
      </w:pPr>
      <w:r>
        <w:rPr>
          <w:rFonts w:ascii="Arial" w:hAnsi="Arial"/>
          <w:color w:val="1E293B"/>
          <w:sz w:val="20"/>
        </w:rPr>
        <w:t>Article 1320 of the Indonesian Civil Code stipulates the four cumulative and fundamental requirements for the validity of an agreement:</w:t>
      </w:r>
    </w:p>
    <w:p>
      <w:pPr>
        <w:spacing w:before="0" w:after="80" w:line="276" w:lineRule="auto"/>
      </w:pPr>
      <w:r>
        <w:rPr>
          <w:rFonts w:ascii="Arial" w:hAnsi="Arial"/>
          <w:color w:val="1E293B"/>
          <w:sz w:val="20"/>
        </w:rPr>
        <w:t>&gt; *"In order to be valid, an agreement must satisfy four conditions:*</w:t>
      </w:r>
    </w:p>
    <w:p>
      <w:pPr>
        <w:spacing w:before="0" w:after="80" w:line="276" w:lineRule="auto"/>
      </w:pPr>
      <w:r>
        <w:rPr>
          <w:rFonts w:ascii="Arial" w:hAnsi="Arial"/>
          <w:color w:val="1E293B"/>
          <w:sz w:val="20"/>
        </w:rPr>
        <w:t>&gt; 1. *the consent of those who bind themselves;*</w:t>
      </w:r>
    </w:p>
    <w:p>
      <w:pPr>
        <w:spacing w:before="0" w:after="80" w:line="276" w:lineRule="auto"/>
      </w:pPr>
      <w:r>
        <w:rPr>
          <w:rFonts w:ascii="Arial" w:hAnsi="Arial"/>
          <w:color w:val="1E293B"/>
          <w:sz w:val="20"/>
        </w:rPr>
        <w:t>&gt; 2. *the capacity to conclude an obligation;*</w:t>
      </w:r>
    </w:p>
    <w:p>
      <w:pPr>
        <w:spacing w:before="0" w:after="80" w:line="276" w:lineRule="auto"/>
      </w:pPr>
      <w:r>
        <w:rPr>
          <w:rFonts w:ascii="Arial" w:hAnsi="Arial"/>
          <w:color w:val="1E293B"/>
          <w:sz w:val="20"/>
        </w:rPr>
        <w:t>&gt; 3. *a specific subject matter;*</w:t>
      </w:r>
    </w:p>
    <w:p>
      <w:pPr>
        <w:spacing w:before="0" w:after="80" w:line="276" w:lineRule="auto"/>
      </w:pPr>
      <w:r>
        <w:rPr>
          <w:rFonts w:ascii="Arial" w:hAnsi="Arial"/>
          <w:color w:val="1E293B"/>
          <w:sz w:val="20"/>
        </w:rPr>
        <w:t>&gt; 4. *a lawful cause."*</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2. Doctrinal Deconstruction and Juridical Analysis</w:t>
      </w:r>
    </w:p>
    <w:p>
      <w:pPr>
        <w:spacing w:before="0" w:after="80"/>
      </w:pPr>
    </w:p>
    <w:p>
      <w:pPr>
        <w:spacing w:before="0" w:after="80" w:line="276" w:lineRule="auto"/>
      </w:pPr>
      <w:r>
        <w:rPr>
          <w:rFonts w:ascii="Arial" w:hAnsi="Arial"/>
          <w:color w:val="1E293B"/>
          <w:sz w:val="20"/>
        </w:rPr>
        <w:t>The four elements under Article 1320 of the KUHPerdata are systematically divided into two legal categories with fundamentally distinct remedies and consequences:</w:t>
      </w:r>
    </w:p>
    <w:p>
      <w:pPr>
        <w:spacing w:before="0" w:after="80"/>
      </w:pPr>
    </w:p>
    <w:p>
      <w:pPr>
        <w:spacing w:before="160" w:after="80" w:line="276" w:lineRule="auto"/>
      </w:pPr>
      <w:r>
        <w:rPr>
          <w:rFonts w:ascii="Arial" w:hAnsi="Arial"/>
          <w:b/>
          <w:color w:val="0F172A"/>
          <w:sz w:val="21"/>
        </w:rPr>
        <w:t>##### A. Subjective Requirements (Pertaining to the Contracting Parties)</w:t>
      </w:r>
    </w:p>
    <w:p>
      <w:pPr>
        <w:spacing w:before="0" w:after="80" w:line="276" w:lineRule="auto"/>
      </w:pPr>
      <w:r>
        <w:rPr>
          <w:rFonts w:ascii="Arial" w:hAnsi="Arial"/>
          <w:color w:val="1E293B"/>
          <w:sz w:val="20"/>
        </w:rPr>
        <w:t>1. **Mutual Consent of the Parties (*Consensus / Toestemming*)**</w:t>
      </w:r>
    </w:p>
    <w:p>
      <w:pPr>
        <w:spacing w:before="0" w:after="80" w:line="276" w:lineRule="auto"/>
      </w:pPr>
      <w:r>
        <w:rPr>
          <w:rFonts w:ascii="Arial" w:hAnsi="Arial"/>
          <w:color w:val="1E293B"/>
          <w:sz w:val="20"/>
        </w:rPr>
        <w:t xml:space="preserve">   * **Definition:** A free and genuine meeting of the minds between the parties without any vitiating factor.</w:t>
      </w:r>
    </w:p>
    <w:p>
      <w:pPr>
        <w:spacing w:before="0" w:after="80" w:line="276" w:lineRule="auto"/>
      </w:pPr>
      <w:r>
        <w:rPr>
          <w:rFonts w:ascii="Arial" w:hAnsi="Arial"/>
          <w:color w:val="1E293B"/>
          <w:sz w:val="20"/>
        </w:rPr>
        <w:t xml:space="preserve">   * **Related Provisions:** Article 1321 of the KUHPerdata governs that consent is defective and invalid if rendered as a consequence of error/mistake (*dwaling*), duress (*dwang*), or fraud (*bedrog*). Modern civil jurisprudence also recognizes abuse of circumstances (*misbruik van omstandigheden*) as a recognized ground for vitiation of consent.</w:t>
      </w:r>
    </w:p>
    <w:p>
      <w:pPr>
        <w:spacing w:before="0" w:after="80" w:line="276" w:lineRule="auto"/>
      </w:pPr>
      <w:r>
        <w:rPr>
          <w:rFonts w:ascii="Arial" w:hAnsi="Arial"/>
          <w:color w:val="1E293B"/>
          <w:sz w:val="20"/>
        </w:rPr>
        <w:t>2. **Legal Capacity to Contract (*Bekwaamheid*)**</w:t>
      </w:r>
    </w:p>
    <w:p>
      <w:pPr>
        <w:spacing w:before="0" w:after="80" w:line="276" w:lineRule="auto"/>
      </w:pPr>
      <w:r>
        <w:rPr>
          <w:rFonts w:ascii="Arial" w:hAnsi="Arial"/>
          <w:color w:val="1E293B"/>
          <w:sz w:val="20"/>
        </w:rPr>
        <w:t xml:space="preserve">   * **Definition:** The legal competence and authority of an individual or legal entity to enter into legally binding obligations.</w:t>
      </w:r>
    </w:p>
    <w:p>
      <w:pPr>
        <w:spacing w:before="0" w:after="80" w:line="276" w:lineRule="auto"/>
      </w:pPr>
      <w:r>
        <w:rPr>
          <w:rFonts w:ascii="Arial" w:hAnsi="Arial"/>
          <w:color w:val="1E293B"/>
          <w:sz w:val="20"/>
        </w:rPr>
        <w:t xml:space="preserve">   * **Related Provisions:** Under Article 1330 of the KUHPerdata, persons lacking capacity include:</w:t>
      </w:r>
    </w:p>
    <w:p>
      <w:pPr>
        <w:spacing w:before="0" w:after="80" w:line="276" w:lineRule="auto"/>
      </w:pPr>
      <w:r>
        <w:rPr>
          <w:rFonts w:ascii="Arial" w:hAnsi="Arial"/>
          <w:color w:val="1E293B"/>
          <w:sz w:val="20"/>
        </w:rPr>
        <w:t xml:space="preserve">     * Minors (individuals under 18 years of age or not previously married, pursuant to Article 330 of the KUHPerdata in conjunction with Article 47 of Law No. 1/1974 on Marriage).</w:t>
      </w:r>
    </w:p>
    <w:p>
      <w:pPr>
        <w:spacing w:before="0" w:after="80" w:line="276" w:lineRule="auto"/>
      </w:pPr>
      <w:r>
        <w:rPr>
          <w:rFonts w:ascii="Arial" w:hAnsi="Arial"/>
          <w:color w:val="1E293B"/>
          <w:sz w:val="20"/>
        </w:rPr>
        <w:t xml:space="preserve">     * Individuals placed under legal guardianship or conservatorship (*curatele*).</w:t>
      </w:r>
    </w:p>
    <w:p>
      <w:pPr>
        <w:spacing w:before="0" w:after="80" w:line="276" w:lineRule="auto"/>
      </w:pPr>
      <w:r>
        <w:rPr>
          <w:rFonts w:ascii="Arial" w:hAnsi="Arial"/>
          <w:color w:val="1E293B"/>
          <w:sz w:val="20"/>
        </w:rPr>
        <w:t xml:space="preserve">     * Certain disqualified persons by statute (historically: married women; this restriction was declared obsolete by Supreme Court Circular Letter / SEMA No. 3/1963).</w:t>
      </w:r>
    </w:p>
    <w:p>
      <w:pPr>
        <w:spacing w:before="0" w:after="80" w:line="276" w:lineRule="auto"/>
      </w:pPr>
      <w:r>
        <w:rPr>
          <w:rFonts w:ascii="Arial" w:hAnsi="Arial"/>
          <w:color w:val="1E293B"/>
          <w:sz w:val="20"/>
        </w:rPr>
        <w:t xml:space="preserve">     * For juristic entities (*legal entities / rechtspersoon*), capacity is exercised by the Board of Directors or authorized representatives pursuant to the Articles of Association and Law No. 40 of 2007 on Limited Liability Companies (Company Law).</w:t>
      </w:r>
    </w:p>
    <w:p>
      <w:pPr>
        <w:spacing w:before="0" w:after="80"/>
      </w:pPr>
    </w:p>
    <w:p>
      <w:pPr>
        <w:spacing w:before="160" w:after="80" w:line="276" w:lineRule="auto"/>
      </w:pPr>
      <w:r>
        <w:rPr>
          <w:rFonts w:ascii="Arial" w:hAnsi="Arial"/>
          <w:b/>
          <w:color w:val="0F172A"/>
          <w:sz w:val="21"/>
        </w:rPr>
        <w:t>##### B. Objective Requirements (Pertaining to the Object and Cause of the Contract)</w:t>
      </w:r>
    </w:p>
    <w:p>
      <w:pPr>
        <w:spacing w:before="0" w:after="80" w:line="276" w:lineRule="auto"/>
      </w:pPr>
      <w:r>
        <w:rPr>
          <w:rFonts w:ascii="Arial" w:hAnsi="Arial"/>
          <w:color w:val="1E293B"/>
          <w:sz w:val="20"/>
        </w:rPr>
        <w:t>3. **A Definite Object (*Bepaalde Onderwerp*)**</w:t>
      </w:r>
    </w:p>
    <w:p>
      <w:pPr>
        <w:spacing w:before="0" w:after="80" w:line="276" w:lineRule="auto"/>
      </w:pPr>
      <w:r>
        <w:rPr>
          <w:rFonts w:ascii="Arial" w:hAnsi="Arial"/>
          <w:color w:val="1E293B"/>
          <w:sz w:val="20"/>
        </w:rPr>
        <w:t xml:space="preserve">   * **Definition:** The subject matter of the obligation must be determined or capable of determination.</w:t>
      </w:r>
    </w:p>
    <w:p>
      <w:pPr>
        <w:spacing w:before="0" w:after="80" w:line="276" w:lineRule="auto"/>
      </w:pPr>
      <w:r>
        <w:rPr>
          <w:rFonts w:ascii="Arial" w:hAnsi="Arial"/>
          <w:color w:val="1E293B"/>
          <w:sz w:val="20"/>
        </w:rPr>
        <w:t xml:space="preserve">   * **Related Provisions:** Pursuant to Article 1332 of the KUHPerdata, only goods and matters within commercial trade may serve as valid subject matter. Article 1333 of the KUHPerdata requires that the quantity of the goods/performance must be ascertainable.</w:t>
      </w:r>
    </w:p>
    <w:p>
      <w:pPr>
        <w:spacing w:before="0" w:after="80" w:line="276" w:lineRule="auto"/>
      </w:pPr>
      <w:r>
        <w:rPr>
          <w:rFonts w:ascii="Arial" w:hAnsi="Arial"/>
          <w:color w:val="1E293B"/>
          <w:sz w:val="20"/>
        </w:rPr>
        <w:t>4. **A Lawful Cause (*Geoorloofde Oorzaak*)**</w:t>
      </w:r>
    </w:p>
    <w:p>
      <w:pPr>
        <w:spacing w:before="0" w:after="80" w:line="276" w:lineRule="auto"/>
      </w:pPr>
      <w:r>
        <w:rPr>
          <w:rFonts w:ascii="Arial" w:hAnsi="Arial"/>
          <w:color w:val="1E293B"/>
          <w:sz w:val="20"/>
        </w:rPr>
        <w:t xml:space="preserve">   * **Definition:** The underlying legal ground, intent, and objective (*causa*) of the agreement must not contravene substantive law.</w:t>
      </w:r>
    </w:p>
    <w:p>
      <w:pPr>
        <w:spacing w:before="0" w:after="80" w:line="276" w:lineRule="auto"/>
      </w:pPr>
      <w:r>
        <w:rPr>
          <w:rFonts w:ascii="Arial" w:hAnsi="Arial"/>
          <w:color w:val="1E293B"/>
          <w:sz w:val="20"/>
        </w:rPr>
        <w:t xml:space="preserve">   * **Related Provisions:** Articles 1335 and 1337 of the KUHPerdata state that a contract has an unlawful cause if it is prohibited by mandatory statutory law, offends public decency and good morals (*goede zeden*), or breaches public order (*openbare orde*).</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3. Legal Consequences of Non-Compliance</w:t>
      </w:r>
    </w:p>
    <w:p>
      <w:pPr>
        <w:spacing w:before="0" w:after="80"/>
      </w:pPr>
    </w:p>
    <w:p>
      <w:pPr>
        <w:spacing w:before="0" w:after="80" w:line="276" w:lineRule="auto"/>
      </w:pPr>
      <w:r>
        <w:rPr>
          <w:rFonts w:ascii="Arial" w:hAnsi="Arial"/>
          <w:color w:val="1E293B"/>
          <w:sz w:val="20"/>
        </w:rPr>
        <w:t>| Category of Condition | Elements under Article 1320 | Juridical Consequence of Breach | Procedural Enforcement / Remedy |</w:t>
      </w:r>
    </w:p>
    <w:p>
      <w:pPr>
        <w:spacing w:before="0" w:after="80" w:line="276" w:lineRule="auto"/>
      </w:pPr>
      <w:r>
        <w:rPr>
          <w:rFonts w:ascii="Arial" w:hAnsi="Arial"/>
          <w:color w:val="1E293B"/>
          <w:sz w:val="20"/>
        </w:rPr>
        <w:t>| :--- | :--- | :--- | :--- |</w:t>
      </w:r>
    </w:p>
    <w:p>
      <w:pPr>
        <w:spacing w:before="0" w:after="80" w:line="276" w:lineRule="auto"/>
      </w:pPr>
      <w:r>
        <w:rPr>
          <w:rFonts w:ascii="Arial" w:hAnsi="Arial"/>
          <w:color w:val="1E293B"/>
          <w:sz w:val="20"/>
        </w:rPr>
        <w:t>| **Subjective Conditions** | 1. Consent&lt;br&gt;2. Capacity | **Voidable (*Vernietigbaar*)** | The contract remains valid and binding on both parties until formally set aside or annulled by a competent court upon the petition of the protected or incapacitated party (Article 1454 KUHPerdata). |</w:t>
      </w:r>
    </w:p>
    <w:p>
      <w:pPr>
        <w:spacing w:before="0" w:after="80" w:line="276" w:lineRule="auto"/>
      </w:pPr>
      <w:r>
        <w:rPr>
          <w:rFonts w:ascii="Arial" w:hAnsi="Arial"/>
          <w:color w:val="1E293B"/>
          <w:sz w:val="20"/>
        </w:rPr>
        <w:t>| **Objective Conditions** | 3. Definite Object&lt;br&gt;4. Lawful Cause | **Null and Void *ab initio* (*Nietig van Rechtswege*)** | The contract is legally non-existent from its inception. No obligations or rights are created; the parties must be restored to their pre-contractual status (*restitutio in integrum*). |</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4. Interaction with Core Contractual Principles</w:t>
      </w:r>
    </w:p>
    <w:p>
      <w:pPr>
        <w:spacing w:before="0" w:after="80" w:line="276" w:lineRule="auto"/>
      </w:pPr>
      <w:r>
        <w:rPr>
          <w:rFonts w:ascii="Arial" w:hAnsi="Arial"/>
          <w:color w:val="1E293B"/>
          <w:sz w:val="20"/>
        </w:rPr>
        <w:t>* **Article 1338 of the KUHPerdata:** The core doctrines of freedom of contract and *pacta sunt servanda* (all agreements legally made apply as statutory law for the parties) are triggered **only if** the agreement satisfies all the cumulative requirements of Article 1320.</w:t>
      </w:r>
    </w:p>
    <w:p>
      <w:pPr>
        <w:spacing w:before="0" w:after="80" w:line="276" w:lineRule="auto"/>
      </w:pPr>
      <w:r>
        <w:rPr>
          <w:rFonts w:ascii="Arial" w:hAnsi="Arial"/>
          <w:color w:val="1E293B"/>
          <w:sz w:val="20"/>
        </w:rPr>
        <w:t>* **Good Faith Performance:** Contracts must be executed in good faith (*te goeder trouw* / Article 1338 paragraph (3) of the KUHPerdata).</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5. Practical Compliance &amp; Drafting Directives</w:t>
      </w:r>
    </w:p>
    <w:p>
      <w:pPr>
        <w:spacing w:before="0" w:after="80" w:line="276" w:lineRule="auto"/>
      </w:pPr>
      <w:r>
        <w:rPr>
          <w:rFonts w:ascii="Arial" w:hAnsi="Arial"/>
          <w:color w:val="1E293B"/>
          <w:sz w:val="20"/>
        </w:rPr>
        <w:t>1. **Verification of Authority and Capacity:**</w:t>
      </w:r>
    </w:p>
    <w:p>
      <w:pPr>
        <w:spacing w:before="0" w:after="80" w:line="276" w:lineRule="auto"/>
      </w:pPr>
      <w:r>
        <w:rPr>
          <w:rFonts w:ascii="Arial" w:hAnsi="Arial"/>
          <w:color w:val="1E293B"/>
          <w:sz w:val="20"/>
        </w:rPr>
        <w:t xml:space="preserve">   * For Natural Persons: Scrutinize identity documentation, age, civil status, and spousal consent (Article 36 of Law No. 1/1974 requires spousal approval for encumbrance or disposal of marital property).</w:t>
      </w:r>
    </w:p>
    <w:p>
      <w:pPr>
        <w:spacing w:before="0" w:after="80" w:line="276" w:lineRule="auto"/>
      </w:pPr>
      <w:r>
        <w:rPr>
          <w:rFonts w:ascii="Arial" w:hAnsi="Arial"/>
          <w:color w:val="1E293B"/>
          <w:sz w:val="20"/>
        </w:rPr>
        <w:t xml:space="preserve">   * For Legal Entities: Conduct corporate due diligence on Articles of Association, Kemenkumham approval decrees, and corporate approvals (Board of Commissioners/GMS resolutions) to confirm the signatory's legal power to bind the entity.</w:t>
      </w:r>
    </w:p>
    <w:p>
      <w:pPr>
        <w:spacing w:before="0" w:after="80" w:line="276" w:lineRule="auto"/>
      </w:pPr>
      <w:r>
        <w:rPr>
          <w:rFonts w:ascii="Arial" w:hAnsi="Arial"/>
          <w:color w:val="1E293B"/>
          <w:sz w:val="20"/>
        </w:rPr>
        <w:t>2. **Mitigation of Vitiated Consent:**</w:t>
      </w:r>
    </w:p>
    <w:p>
      <w:pPr>
        <w:spacing w:before="0" w:after="80" w:line="276" w:lineRule="auto"/>
      </w:pPr>
      <w:r>
        <w:rPr>
          <w:rFonts w:ascii="Arial" w:hAnsi="Arial"/>
          <w:color w:val="1E293B"/>
          <w:sz w:val="20"/>
        </w:rPr>
        <w:t xml:space="preserve">   * Embed explicit representations and warranties affirming that execution is undertaken freely, knowingly, without coercion or misrepresentation, and following independent legal advice.</w:t>
      </w:r>
    </w:p>
    <w:p>
      <w:pPr>
        <w:spacing w:before="0" w:after="80" w:line="276" w:lineRule="auto"/>
      </w:pPr>
      <w:r>
        <w:rPr>
          <w:rFonts w:ascii="Arial" w:hAnsi="Arial"/>
          <w:color w:val="1E293B"/>
          <w:sz w:val="20"/>
        </w:rPr>
        <w:t>3. **Precision in the Scope of Performance:**</w:t>
      </w:r>
    </w:p>
    <w:p>
      <w:pPr>
        <w:spacing w:before="0" w:after="80" w:line="276" w:lineRule="auto"/>
      </w:pPr>
      <w:r>
        <w:rPr>
          <w:rFonts w:ascii="Arial" w:hAnsi="Arial"/>
          <w:color w:val="1E293B"/>
          <w:sz w:val="20"/>
        </w:rPr>
        <w:t xml:space="preserve">   * Draft clear, identifiable, and measurable definitions for the contractual object, performance milestones, and deliverables to avoid invalidation for lack of determinability.</w:t>
      </w:r>
    </w:p>
    <w:p>
      <w:pPr>
        <w:spacing w:before="0" w:after="80" w:line="276" w:lineRule="auto"/>
      </w:pPr>
      <w:r>
        <w:rPr>
          <w:rFonts w:ascii="Arial" w:hAnsi="Arial"/>
          <w:color w:val="1E293B"/>
          <w:sz w:val="20"/>
        </w:rPr>
        <w:t>4. **Mandatory Law Compliance (Lawful Cause):**</w:t>
      </w:r>
    </w:p>
    <w:p>
      <w:pPr>
        <w:spacing w:before="0" w:after="80" w:line="276" w:lineRule="auto"/>
      </w:pPr>
      <w:r>
        <w:rPr>
          <w:rFonts w:ascii="Arial" w:hAnsi="Arial"/>
          <w:color w:val="1E293B"/>
          <w:sz w:val="20"/>
        </w:rPr>
        <w:t xml:space="preserve">   * Ensure that transaction structures do not contravene mandatory Indonesian statutory law (*dwingend recht*), foreign exchange regulations, antitrust restrictions, consumer protection statutes, or public policy standards.</w:t>
      </w:r>
    </w:p>
    <w:p>
      <w:pPr>
        <w:spacing w:before="400" w:after="0"/>
      </w:pPr>
      <w:r>
        <w:rPr>
          <w:rFonts w:ascii="Arial" w:hAnsi="Arial"/>
          <w:i/>
          <w:color w:val="94A3B8"/>
          <w:sz w:val="16"/>
        </w:rPr>
        <w:t>Disclaimer: Generated by hukum.live for educational and statutory guidance purposes.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