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"Article 1320"</w:t>
      </w:r>
    </w:p>
    <w:p>
      <w:pPr>
        <w:spacing w:before="0" w:after="360"/>
        <w:jc w:val="center"/>
      </w:pPr>
      <w:r>
        <w:rPr>
          <w:rFonts w:ascii="Arial" w:hAnsi="Arial"/>
          <w:color w:val="64748B"/>
          <w:sz w:val="17"/>
        </w:rPr>
        <w:t>CATEGORY: CORPORATE &amp; INVESTMENT | DUAL LANGUAGE: ID ↔ ENGLISH | 03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dan Teks Statuta</w:t>
      </w:r>
    </w:p>
    <w:p>
      <w:pPr>
        <w:spacing w:before="0" w:after="80" w:line="276" w:lineRule="auto"/>
      </w:pPr>
      <w:r>
        <w:rPr>
          <w:rFonts w:ascii="Arial" w:hAnsi="Arial"/>
          <w:color w:val="1E293B"/>
          <w:sz w:val="20"/>
        </w:rPr>
        <w:t>Ketentuan mengenai syarat sahnya suatu perjanjian diatur dalam **Pasal 1320 Kitab Undang-Undang Hukum Perdata (KUHPerdata / *Burgerlijk Wetboek*)**:</w:t>
      </w:r>
    </w:p>
    <w:p>
      <w:pPr>
        <w:spacing w:before="0" w:after="80"/>
      </w:pPr>
    </w:p>
    <w:p>
      <w:pPr>
        <w:spacing w:before="0" w:after="80" w:line="276" w:lineRule="auto"/>
      </w:pPr>
      <w:r>
        <w:rPr>
          <w:rFonts w:ascii="Arial" w:hAnsi="Arial"/>
          <w:color w:val="1E293B"/>
          <w:sz w:val="20"/>
        </w:rPr>
        <w:t>&gt; *"Untuk sahnya suatu perjanjian diperlukan empat syarat:*</w:t>
      </w:r>
    </w:p>
    <w:p>
      <w:pPr>
        <w:spacing w:before="0" w:after="80" w:line="276" w:lineRule="auto"/>
      </w:pPr>
      <w:r>
        <w:rPr>
          <w:rFonts w:ascii="Arial" w:hAnsi="Arial"/>
          <w:color w:val="1E293B"/>
          <w:sz w:val="20"/>
        </w:rPr>
        <w:t>&gt; 1. *sepakat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hal tertentu;*</w:t>
      </w:r>
    </w:p>
    <w:p>
      <w:pPr>
        <w:spacing w:before="0" w:after="80" w:line="276" w:lineRule="auto"/>
      </w:pPr>
      <w:r>
        <w:rPr>
          <w:rFonts w:ascii="Arial" w:hAnsi="Arial"/>
          <w:color w:val="1E293B"/>
          <w:sz w:val="20"/>
        </w:rPr>
        <w:t>&gt; 4. *suatu sebab yang halal."*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Klasifikasi dan Unsur-Unsur Yuridis</w:t>
      </w:r>
    </w:p>
    <w:p>
      <w:pPr>
        <w:spacing w:before="0" w:after="80"/>
      </w:pPr>
    </w:p>
    <w:p>
      <w:pPr>
        <w:spacing w:before="0" w:after="80" w:line="276" w:lineRule="auto"/>
      </w:pPr>
      <w:r>
        <w:rPr>
          <w:rFonts w:ascii="Arial" w:hAnsi="Arial"/>
          <w:color w:val="1E293B"/>
          <w:sz w:val="20"/>
        </w:rPr>
        <w:t>Hukum perdata Indonesia mengklasifikasikan keempat syarat tersebut ke dalam dua kategori pokok:</w:t>
      </w:r>
    </w:p>
    <w:p>
      <w:pPr>
        <w:spacing w:before="0" w:after="80"/>
      </w:pPr>
    </w:p>
    <w:p>
      <w:pPr>
        <w:spacing w:before="160" w:after="80" w:line="276" w:lineRule="auto"/>
      </w:pPr>
      <w:r>
        <w:rPr>
          <w:rFonts w:ascii="Arial" w:hAnsi="Arial"/>
          <w:b/>
          <w:color w:val="0F172A"/>
          <w:sz w:val="21"/>
        </w:rPr>
        <w:t>##### A. Syarat Subjektif (Mengenai Subjek Perjanjian)</w:t>
      </w:r>
    </w:p>
    <w:p>
      <w:pPr>
        <w:spacing w:before="0" w:after="80" w:line="276" w:lineRule="auto"/>
      </w:pPr>
      <w:r>
        <w:rPr>
          <w:rFonts w:ascii="Arial" w:hAnsi="Arial"/>
          <w:color w:val="1E293B"/>
          <w:sz w:val="20"/>
        </w:rPr>
        <w:t>1. **Kesepakatan Para Pihak (*Consensus / De toestemming van degenen die zich verbinden*)**</w:t>
      </w:r>
    </w:p>
    <w:p>
      <w:pPr>
        <w:spacing w:before="0" w:after="80" w:line="276" w:lineRule="auto"/>
      </w:pPr>
      <w:r>
        <w:rPr>
          <w:rFonts w:ascii="Arial" w:hAnsi="Arial"/>
          <w:color w:val="1E293B"/>
          <w:sz w:val="20"/>
        </w:rPr>
        <w:t xml:space="preserve">   * Persesuaian kehendak bebas antara para pihak tanpa adanya cacat kehendak (*wilsgebreken*).</w:t>
      </w:r>
    </w:p>
    <w:p>
      <w:pPr>
        <w:spacing w:before="0" w:after="80" w:line="276" w:lineRule="auto"/>
      </w:pPr>
      <w:r>
        <w:rPr>
          <w:rFonts w:ascii="Arial" w:hAnsi="Arial"/>
          <w:color w:val="1E293B"/>
          <w:sz w:val="20"/>
        </w:rPr>
        <w:t xml:space="preserve">   * Berdasarkan **Pasal 1321 KUHPerdata**, kesepakatan menjadi tidak sah apabila diberikan karena:</w:t>
      </w:r>
    </w:p>
    <w:p>
      <w:pPr>
        <w:spacing w:before="0" w:after="80" w:line="276" w:lineRule="auto"/>
      </w:pPr>
      <w:r>
        <w:rPr>
          <w:rFonts w:ascii="Arial" w:hAnsi="Arial"/>
          <w:color w:val="1E293B"/>
          <w:sz w:val="20"/>
        </w:rPr>
        <w:t xml:space="preserve">     * Kekhilafan/kesesatan (*dwaling*);</w:t>
      </w:r>
    </w:p>
    <w:p>
      <w:pPr>
        <w:spacing w:before="0" w:after="80" w:line="276" w:lineRule="auto"/>
      </w:pPr>
      <w:r>
        <w:rPr>
          <w:rFonts w:ascii="Arial" w:hAnsi="Arial"/>
          <w:color w:val="1E293B"/>
          <w:sz w:val="20"/>
        </w:rPr>
        <w:t xml:space="preserve">     * Paksaan (*dwang*); atau</w:t>
      </w:r>
    </w:p>
    <w:p>
      <w:pPr>
        <w:spacing w:before="0" w:after="80" w:line="276" w:lineRule="auto"/>
      </w:pPr>
      <w:r>
        <w:rPr>
          <w:rFonts w:ascii="Arial" w:hAnsi="Arial"/>
          <w:color w:val="1E293B"/>
          <w:sz w:val="20"/>
        </w:rPr>
        <w:t xml:space="preserve">     * Penipuan (*bedrog*).</w:t>
      </w:r>
    </w:p>
    <w:p>
      <w:pPr>
        <w:spacing w:before="0" w:after="80" w:line="276" w:lineRule="auto"/>
      </w:pPr>
      <w:r>
        <w:rPr>
          <w:rFonts w:ascii="Arial" w:hAnsi="Arial"/>
          <w:color w:val="1E293B"/>
          <w:sz w:val="20"/>
        </w:rPr>
        <w:t>2. **Kecakapan Bertindak Menurut Hukum (*Capacity / De bekwaamheid om eene verbindtenis aan te gaan*)**</w:t>
      </w:r>
    </w:p>
    <w:p>
      <w:pPr>
        <w:spacing w:before="0" w:after="80" w:line="276" w:lineRule="auto"/>
      </w:pPr>
      <w:r>
        <w:rPr>
          <w:rFonts w:ascii="Arial" w:hAnsi="Arial"/>
          <w:color w:val="1E293B"/>
          <w:sz w:val="20"/>
        </w:rPr>
        <w:t xml:space="preserve">   * Wewenang hukum seseorang untuk melakukan perbuatan hukum yang mengikat.</w:t>
      </w:r>
    </w:p>
    <w:p>
      <w:pPr>
        <w:spacing w:before="0" w:after="80" w:line="276" w:lineRule="auto"/>
      </w:pPr>
      <w:r>
        <w:rPr>
          <w:rFonts w:ascii="Arial" w:hAnsi="Arial"/>
          <w:color w:val="1E293B"/>
          <w:sz w:val="20"/>
        </w:rPr>
        <w:t xml:space="preserve">   * Berdasarkan **Pasal 1330 KUHPerdata**, pihak yang dikualifikasikan tidak cakap meliputi:</w:t>
      </w:r>
    </w:p>
    <w:p>
      <w:pPr>
        <w:spacing w:before="0" w:after="80" w:line="276" w:lineRule="auto"/>
      </w:pPr>
      <w:r>
        <w:rPr>
          <w:rFonts w:ascii="Arial" w:hAnsi="Arial"/>
          <w:color w:val="1E293B"/>
          <w:sz w:val="20"/>
        </w:rPr>
        <w:t xml:space="preserve">     * Anak yang belum dewasa (di bawah umur 21 tahun dan belum menikah, merujuk Pasal 330 KUHPerdata juncto UU Perlindungan Anak / UU Perkawinan);</w:t>
      </w:r>
    </w:p>
    <w:p>
      <w:pPr>
        <w:spacing w:before="0" w:after="80" w:line="276" w:lineRule="auto"/>
      </w:pPr>
      <w:r>
        <w:rPr>
          <w:rFonts w:ascii="Arial" w:hAnsi="Arial"/>
          <w:color w:val="1E293B"/>
          <w:sz w:val="20"/>
        </w:rPr>
        <w:t xml:space="preserve">     * Orang yang ditaruh di bawah pengampuan (*curatele*);</w:t>
      </w:r>
    </w:p>
    <w:p>
      <w:pPr>
        <w:spacing w:before="0" w:after="80" w:line="276" w:lineRule="auto"/>
      </w:pPr>
      <w:r>
        <w:rPr>
          <w:rFonts w:ascii="Arial" w:hAnsi="Arial"/>
          <w:color w:val="1E293B"/>
          <w:sz w:val="20"/>
        </w:rPr>
        <w:t xml:space="preserve">     * Orang-orang perempuan dalam hal yang ditetapkan undang-undang (ketentuan diskriminatif ini telah dinyatakan gugur berdasarkan Surat Edaran Mahkamah Agung No. 3 Tahun 1963 dan UU Perkawinan No. 1 Tahun 1974).</w:t>
      </w:r>
    </w:p>
    <w:p>
      <w:pPr>
        <w:spacing w:before="0" w:after="80"/>
      </w:pPr>
    </w:p>
    <w:p>
      <w:pPr>
        <w:spacing w:before="160" w:after="80" w:line="276" w:lineRule="auto"/>
      </w:pPr>
      <w:r>
        <w:rPr>
          <w:rFonts w:ascii="Arial" w:hAnsi="Arial"/>
          <w:b/>
          <w:color w:val="0F172A"/>
          <w:sz w:val="21"/>
        </w:rPr>
        <w:t>##### B. Syarat Objektif (Mengenai Objek Perjanjian)</w:t>
      </w:r>
    </w:p>
    <w:p>
      <w:pPr>
        <w:spacing w:before="0" w:after="80" w:line="276" w:lineRule="auto"/>
      </w:pPr>
      <w:r>
        <w:rPr>
          <w:rFonts w:ascii="Arial" w:hAnsi="Arial"/>
          <w:color w:val="1E293B"/>
          <w:sz w:val="20"/>
        </w:rPr>
        <w:t>3. **Suatu Hal Tertentu (*A Determinate Subject Matter / Een bepaald onderwerp*)**</w:t>
      </w:r>
    </w:p>
    <w:p>
      <w:pPr>
        <w:spacing w:before="0" w:after="80" w:line="276" w:lineRule="auto"/>
      </w:pPr>
      <w:r>
        <w:rPr>
          <w:rFonts w:ascii="Arial" w:hAnsi="Arial"/>
          <w:color w:val="1E293B"/>
          <w:sz w:val="20"/>
        </w:rPr>
        <w:t xml:space="preserve">   * Prestasi yang diperjanjikan harus jelas, dapat ditentukan jenisnya, dan minimal dapat dihitung jumlahnya di kemudian hari (**Pasal 1332 dan Pasal 1333 KUHPerdata**).</w:t>
      </w:r>
    </w:p>
    <w:p>
      <w:pPr>
        <w:spacing w:before="0" w:after="80" w:line="276" w:lineRule="auto"/>
      </w:pPr>
      <w:r>
        <w:rPr>
          <w:rFonts w:ascii="Arial" w:hAnsi="Arial"/>
          <w:color w:val="1E293B"/>
          <w:sz w:val="20"/>
        </w:rPr>
        <w:t xml:space="preserve">   * Objek perjanjian harus berupa barang atau hak yang dapat diperdagangkan.</w:t>
      </w:r>
    </w:p>
    <w:p>
      <w:pPr>
        <w:spacing w:before="0" w:after="80" w:line="276" w:lineRule="auto"/>
      </w:pPr>
      <w:r>
        <w:rPr>
          <w:rFonts w:ascii="Arial" w:hAnsi="Arial"/>
          <w:color w:val="1E293B"/>
          <w:sz w:val="20"/>
        </w:rPr>
        <w:t>4. **Sebab yang Halal (*A Lawful Cause / Eene geoorloofde oorzaak*)**</w:t>
      </w:r>
    </w:p>
    <w:p>
      <w:pPr>
        <w:spacing w:before="0" w:after="80" w:line="276" w:lineRule="auto"/>
      </w:pPr>
      <w:r>
        <w:rPr>
          <w:rFonts w:ascii="Arial" w:hAnsi="Arial"/>
          <w:color w:val="1E293B"/>
          <w:sz w:val="20"/>
        </w:rPr>
        <w:t xml:space="preserve">   * Klausul atau tujuan dari perjanjian tidak boleh bertentangan dengan undang-undang, kesusilaan yang baik, maupun ketertiban umum (**Pasal 1335 dan Pasal 1337 KUHPerdata**).</w:t>
      </w:r>
    </w:p>
    <w:p>
      <w:pPr>
        <w:spacing w:before="0" w:after="80" w:line="276" w:lineRule="auto"/>
      </w:pPr>
      <w:r>
        <w:rPr>
          <w:rFonts w:ascii="Arial" w:hAnsi="Arial"/>
          <w:color w:val="1E293B"/>
          <w:sz w:val="20"/>
        </w:rPr>
        <w:t xml:space="preserve">   * Kata "sebab" (*oorzaak / causa*) merujuk pada isi dan tujuan objektif dari perjanjian, bukan motif internal subjektif para pihak.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Akibat Hukum Ketidakpatuhan (*Legal Consequences*)</w:t>
      </w:r>
    </w:p>
    <w:p>
      <w:pPr>
        <w:spacing w:before="0" w:after="80"/>
      </w:pPr>
    </w:p>
    <w:p>
      <w:pPr>
        <w:spacing w:before="0" w:after="80" w:line="276" w:lineRule="auto"/>
      </w:pPr>
      <w:r>
        <w:rPr>
          <w:rFonts w:ascii="Arial" w:hAnsi="Arial"/>
          <w:color w:val="1E293B"/>
          <w:sz w:val="20"/>
        </w:rPr>
        <w:t>* **Pelanggaran Syarat Subjektif (Poin 1 &amp; 2):**</w:t>
      </w:r>
    </w:p>
    <w:p>
      <w:pPr>
        <w:spacing w:before="0" w:after="80" w:line="276" w:lineRule="auto"/>
      </w:pPr>
      <w:r>
        <w:rPr>
          <w:rFonts w:ascii="Arial" w:hAnsi="Arial"/>
          <w:color w:val="1E293B"/>
          <w:sz w:val="20"/>
        </w:rPr>
        <w:t xml:space="preserve">  Perjanjian **dapat dibatalkan (*voidable / vernietigbaar*)**. Perjanjian tetap sah dan mengikat para pihak selama tidak diajukan permohonan pembatalan kepada hakim oleh pihak yang tidak cakap atau pihak yang kesepakatannya cacat (tenggang waktu kedaluwarsa tuntutan pembatalan adalah 5 tahun menurut Pasal 1454 KUHPerdata).</w:t>
      </w:r>
    </w:p>
    <w:p>
      <w:pPr>
        <w:spacing w:before="0" w:after="80" w:line="276" w:lineRule="auto"/>
      </w:pPr>
      <w:r>
        <w:rPr>
          <w:rFonts w:ascii="Arial" w:hAnsi="Arial"/>
          <w:color w:val="1E293B"/>
          <w:sz w:val="20"/>
        </w:rPr>
        <w:t>* **Pelanggaran Syarat Objektif (Poin 3 &amp; 4):**</w:t>
      </w:r>
    </w:p>
    <w:p>
      <w:pPr>
        <w:spacing w:before="0" w:after="80" w:line="276" w:lineRule="auto"/>
      </w:pPr>
      <w:r>
        <w:rPr>
          <w:rFonts w:ascii="Arial" w:hAnsi="Arial"/>
          <w:color w:val="1E293B"/>
          <w:sz w:val="20"/>
        </w:rPr>
        <w:t xml:space="preserve">  Perjanjian **batal demi hukum (*null and void ab initio / nietig*)**. Dari perspektif yuridis, perjanjian tersebut dianggap tidak pernah ada sejak semula, tidak memiliki kekuatan eksekutorial, dan tidak dapat dimintakan pemenuhannya melalui putusan pengadilan.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Keterkaitan dengan Asas-Asas Kontrak Lainnya</w:t>
      </w:r>
    </w:p>
    <w:p>
      <w:pPr>
        <w:spacing w:before="0" w:after="80" w:line="276" w:lineRule="auto"/>
      </w:pPr>
      <w:r>
        <w:rPr>
          <w:rFonts w:ascii="Arial" w:hAnsi="Arial"/>
          <w:color w:val="1E293B"/>
          <w:sz w:val="20"/>
        </w:rPr>
        <w:t>* **Asas Kebebasan Berkontrak (*Party Autonomy*) &amp; *Pacta Sunt Servanda* (Pasal 1338 ayat (1) KUHPerdata):** Semua perjanjian yang dibuat secara sah berlaku sebagai undang-undang bagi mereka yang membuatnya. Keberlakuan asas ini disyaratkan oleh terpenuhinya Pasal 1320 KUHPerdata terlebih dahulu.</w:t>
      </w:r>
    </w:p>
    <w:p>
      <w:pPr>
        <w:spacing w:before="0" w:after="80" w:line="276" w:lineRule="auto"/>
      </w:pPr>
      <w:r>
        <w:rPr>
          <w:rFonts w:ascii="Arial" w:hAnsi="Arial"/>
          <w:color w:val="1E293B"/>
          <w:sz w:val="20"/>
        </w:rPr>
        <w:t>* **Asas Iktikad Baik (*Good Faith*) (Pasal 1338 ayat (3) KUHPerdata):** Perjanjian harus dilaksanakan dengan iktikad baik.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Praktis Kepatuhan Kontrak (Mitigasi Risiko Perdata)</w:t>
      </w:r>
    </w:p>
    <w:p>
      <w:pPr>
        <w:spacing w:before="0" w:after="80" w:line="276" w:lineRule="auto"/>
      </w:pPr>
      <w:r>
        <w:rPr>
          <w:rFonts w:ascii="Arial" w:hAnsi="Arial"/>
          <w:color w:val="1E293B"/>
          <w:sz w:val="20"/>
        </w:rPr>
        <w:t>1. **Verifikasi Legal Standing &amp; Wewenang:** Pastikan subjek hukum memiliki kapasitas hukum. Untuk perseroan terbatas (PT), periksa Anggaran Dasar dan Surat Kuasa untuk memastikan direksi berwenang bertindak sesuai UU No. 40/2007.</w:t>
      </w:r>
    </w:p>
    <w:p>
      <w:pPr>
        <w:spacing w:before="0" w:after="80" w:line="276" w:lineRule="auto"/>
      </w:pPr>
      <w:r>
        <w:rPr>
          <w:rFonts w:ascii="Arial" w:hAnsi="Arial"/>
          <w:color w:val="1E293B"/>
          <w:sz w:val="20"/>
        </w:rPr>
        <w:t>2. **Dokumentasikan Konsensus:** Hindari klausul yang berpotensi dianggap memuat tekanan atau penyalahgunaan keadaan (*misbruik van omstandigheden*).</w:t>
      </w:r>
    </w:p>
    <w:p>
      <w:pPr>
        <w:spacing w:before="0" w:after="80" w:line="276" w:lineRule="auto"/>
      </w:pPr>
      <w:r>
        <w:rPr>
          <w:rFonts w:ascii="Arial" w:hAnsi="Arial"/>
          <w:color w:val="1E293B"/>
          <w:sz w:val="20"/>
        </w:rPr>
        <w:t>3. **Klausul Prestasi yang Terdefinisi:** Tentukan ruang lingkup, jadwal, spesifikasi, dan hak/kewajiban secara spesifik dan terukur guna menghindari batalnya klausul karena ketidakpastian objek.</w:t>
      </w:r>
    </w:p>
    <w:p>
      <w:pPr>
        <w:spacing w:before="0" w:after="80" w:line="276" w:lineRule="auto"/>
      </w:pPr>
      <w:r>
        <w:rPr>
          <w:rFonts w:ascii="Arial" w:hAnsi="Arial"/>
          <w:color w:val="1E293B"/>
          <w:sz w:val="20"/>
        </w:rPr>
        <w:t>4. **Uji Kepatuhan Regulasi:** Pastikan substansi perjanjian tidak melanggar ketentuan hukum yang bersifat memaksa (*dwingend recht*), termasuk perizinan berusaha, larangan monopoli, dan norma ketertiban umum di Indonesia.</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Statutory Foundation and Legal Text</w:t>
      </w:r>
    </w:p>
    <w:p>
      <w:pPr>
        <w:spacing w:before="0" w:after="80" w:line="276" w:lineRule="auto"/>
      </w:pPr>
      <w:r>
        <w:rPr>
          <w:rFonts w:ascii="Arial" w:hAnsi="Arial"/>
          <w:color w:val="1E293B"/>
          <w:sz w:val="20"/>
        </w:rPr>
        <w:t>The legal requirements governing the validity of a contract are codified under **Article 1320 of the Indonesian Civil Code (KUHPerdata / *Burgerlijk Wetboek*)**:</w:t>
      </w:r>
    </w:p>
    <w:p>
      <w:pPr>
        <w:spacing w:before="0" w:after="80"/>
      </w:pPr>
    </w:p>
    <w:p>
      <w:pPr>
        <w:spacing w:before="0" w:after="80" w:line="276" w:lineRule="auto"/>
      </w:pPr>
      <w:r>
        <w:rPr>
          <w:rFonts w:ascii="Arial" w:hAnsi="Arial"/>
          <w:color w:val="1E293B"/>
          <w:sz w:val="20"/>
        </w:rPr>
        <w:t>&gt; *"In order to be valid, an agreement must satisfy four conditions:*</w:t>
      </w:r>
    </w:p>
    <w:p>
      <w:pPr>
        <w:spacing w:before="0" w:after="80" w:line="276" w:lineRule="auto"/>
      </w:pPr>
      <w:r>
        <w:rPr>
          <w:rFonts w:ascii="Arial" w:hAnsi="Arial"/>
          <w:color w:val="1E293B"/>
          <w:sz w:val="20"/>
        </w:rPr>
        <w:t>&gt; 1. *the consent of the individuals who bind themselves;*</w:t>
      </w:r>
    </w:p>
    <w:p>
      <w:pPr>
        <w:spacing w:before="0" w:after="80" w:line="276" w:lineRule="auto"/>
      </w:pPr>
      <w:r>
        <w:rPr>
          <w:rFonts w:ascii="Arial" w:hAnsi="Arial"/>
          <w:color w:val="1E293B"/>
          <w:sz w:val="20"/>
        </w:rPr>
        <w:t>&gt; 2. *the capacity to conclude an obligation;*</w:t>
      </w:r>
    </w:p>
    <w:p>
      <w:pPr>
        <w:spacing w:before="0" w:after="80" w:line="276" w:lineRule="auto"/>
      </w:pPr>
      <w:r>
        <w:rPr>
          <w:rFonts w:ascii="Arial" w:hAnsi="Arial"/>
          <w:color w:val="1E293B"/>
          <w:sz w:val="20"/>
        </w:rPr>
        <w:t>&gt; 3. *a specific subject matter;*</w:t>
      </w:r>
    </w:p>
    <w:p>
      <w:pPr>
        <w:spacing w:before="0" w:after="80" w:line="276" w:lineRule="auto"/>
      </w:pPr>
      <w:r>
        <w:rPr>
          <w:rFonts w:ascii="Arial" w:hAnsi="Arial"/>
          <w:color w:val="1E293B"/>
          <w:sz w:val="20"/>
        </w:rPr>
        <w:t>&gt; 4. *a lawful cause."*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Legal Classification and Juridical Elements</w:t>
      </w:r>
    </w:p>
    <w:p>
      <w:pPr>
        <w:spacing w:before="0" w:after="80"/>
      </w:pPr>
    </w:p>
    <w:p>
      <w:pPr>
        <w:spacing w:before="0" w:after="80" w:line="276" w:lineRule="auto"/>
      </w:pPr>
      <w:r>
        <w:rPr>
          <w:rFonts w:ascii="Arial" w:hAnsi="Arial"/>
          <w:color w:val="1E293B"/>
          <w:sz w:val="20"/>
        </w:rPr>
        <w:t>Indonesian civil jurisprudence categorizes these four requirements into two fundamental divisions:</w:t>
      </w:r>
    </w:p>
    <w:p>
      <w:pPr>
        <w:spacing w:before="0" w:after="80"/>
      </w:pPr>
    </w:p>
    <w:p>
      <w:pPr>
        <w:spacing w:before="160" w:after="80" w:line="276" w:lineRule="auto"/>
      </w:pPr>
      <w:r>
        <w:rPr>
          <w:rFonts w:ascii="Arial" w:hAnsi="Arial"/>
          <w:b/>
          <w:color w:val="0F172A"/>
          <w:sz w:val="21"/>
        </w:rPr>
        <w:t>##### A. Subjective Requirements (Relating to the Parties)</w:t>
      </w:r>
    </w:p>
    <w:p>
      <w:pPr>
        <w:spacing w:before="0" w:after="80" w:line="276" w:lineRule="auto"/>
      </w:pPr>
      <w:r>
        <w:rPr>
          <w:rFonts w:ascii="Arial" w:hAnsi="Arial"/>
          <w:color w:val="1E293B"/>
          <w:sz w:val="20"/>
        </w:rPr>
        <w:t>1. **Mutual Consent of the Parties (*Consensus*)**</w:t>
      </w:r>
    </w:p>
    <w:p>
      <w:pPr>
        <w:spacing w:before="0" w:after="80" w:line="276" w:lineRule="auto"/>
      </w:pPr>
      <w:r>
        <w:rPr>
          <w:rFonts w:ascii="Arial" w:hAnsi="Arial"/>
          <w:color w:val="1E293B"/>
          <w:sz w:val="20"/>
        </w:rPr>
        <w:t xml:space="preserve">   * A true meeting of the minds and autonomous manifestation of will, absent any defects of consent (*wilsgebreken*).</w:t>
      </w:r>
    </w:p>
    <w:p>
      <w:pPr>
        <w:spacing w:before="0" w:after="80" w:line="276" w:lineRule="auto"/>
      </w:pPr>
      <w:r>
        <w:rPr>
          <w:rFonts w:ascii="Arial" w:hAnsi="Arial"/>
          <w:color w:val="1E293B"/>
          <w:sz w:val="20"/>
        </w:rPr>
        <w:t xml:space="preserve">   * Pursuant to **Article 1321 of the Indonesian Civil Code**, consent is legally defective and invalid if procured through:</w:t>
      </w:r>
    </w:p>
    <w:p>
      <w:pPr>
        <w:spacing w:before="0" w:after="80" w:line="276" w:lineRule="auto"/>
      </w:pPr>
      <w:r>
        <w:rPr>
          <w:rFonts w:ascii="Arial" w:hAnsi="Arial"/>
          <w:color w:val="1E293B"/>
          <w:sz w:val="20"/>
        </w:rPr>
        <w:t xml:space="preserve">     * Mistake or error (*dwaling*);</w:t>
      </w:r>
    </w:p>
    <w:p>
      <w:pPr>
        <w:spacing w:before="0" w:after="80" w:line="276" w:lineRule="auto"/>
      </w:pPr>
      <w:r>
        <w:rPr>
          <w:rFonts w:ascii="Arial" w:hAnsi="Arial"/>
          <w:color w:val="1E293B"/>
          <w:sz w:val="20"/>
        </w:rPr>
        <w:t xml:space="preserve">     * Duress or coercion (*dwang*); or</w:t>
      </w:r>
    </w:p>
    <w:p>
      <w:pPr>
        <w:spacing w:before="0" w:after="80" w:line="276" w:lineRule="auto"/>
      </w:pPr>
      <w:r>
        <w:rPr>
          <w:rFonts w:ascii="Arial" w:hAnsi="Arial"/>
          <w:color w:val="1E293B"/>
          <w:sz w:val="20"/>
        </w:rPr>
        <w:t xml:space="preserve">     * Fraud or fraudulent misrepresentation (*bedrog*).</w:t>
      </w:r>
    </w:p>
    <w:p>
      <w:pPr>
        <w:spacing w:before="0" w:after="80" w:line="276" w:lineRule="auto"/>
      </w:pPr>
      <w:r>
        <w:rPr>
          <w:rFonts w:ascii="Arial" w:hAnsi="Arial"/>
          <w:color w:val="1E293B"/>
          <w:sz w:val="20"/>
        </w:rPr>
        <w:t>2. **Legal Capacity to Contract (*Capacity*)**</w:t>
      </w:r>
    </w:p>
    <w:p>
      <w:pPr>
        <w:spacing w:before="0" w:after="80" w:line="276" w:lineRule="auto"/>
      </w:pPr>
      <w:r>
        <w:rPr>
          <w:rFonts w:ascii="Arial" w:hAnsi="Arial"/>
          <w:color w:val="1E293B"/>
          <w:sz w:val="20"/>
        </w:rPr>
        <w:t xml:space="preserve">   * The legal competency of an individual or entity to enter into binding legal relations.</w:t>
      </w:r>
    </w:p>
    <w:p>
      <w:pPr>
        <w:spacing w:before="0" w:after="80" w:line="276" w:lineRule="auto"/>
      </w:pPr>
      <w:r>
        <w:rPr>
          <w:rFonts w:ascii="Arial" w:hAnsi="Arial"/>
          <w:color w:val="1E293B"/>
          <w:sz w:val="20"/>
        </w:rPr>
        <w:t xml:space="preserve">   * Pursuant to **Article 1330 of the Indonesian Civil Code**, persons deemed legally incompetent to contract comprise:</w:t>
      </w:r>
    </w:p>
    <w:p>
      <w:pPr>
        <w:spacing w:before="0" w:after="80" w:line="276" w:lineRule="auto"/>
      </w:pPr>
      <w:r>
        <w:rPr>
          <w:rFonts w:ascii="Arial" w:hAnsi="Arial"/>
          <w:color w:val="1E293B"/>
          <w:sz w:val="20"/>
        </w:rPr>
        <w:t xml:space="preserve">     * Minors (individuals under 21 years of age and unmarried, read in conjunction with the Child Protection Law and Marriage Law);</w:t>
      </w:r>
    </w:p>
    <w:p>
      <w:pPr>
        <w:spacing w:before="0" w:after="80" w:line="276" w:lineRule="auto"/>
      </w:pPr>
      <w:r>
        <w:rPr>
          <w:rFonts w:ascii="Arial" w:hAnsi="Arial"/>
          <w:color w:val="1E293B"/>
          <w:sz w:val="20"/>
        </w:rPr>
        <w:t xml:space="preserve">     * Individuals placed under legal guardianship or conservatorship (*curatele*);</w:t>
      </w:r>
    </w:p>
    <w:p>
      <w:pPr>
        <w:spacing w:before="0" w:after="80" w:line="276" w:lineRule="auto"/>
      </w:pPr>
      <w:r>
        <w:rPr>
          <w:rFonts w:ascii="Arial" w:hAnsi="Arial"/>
          <w:color w:val="1E293B"/>
          <w:sz w:val="20"/>
        </w:rPr>
        <w:t xml:space="preserve">     * Married women in specific matters designated by law (this discriminatory provision has been rendered void by Supreme Court Circular Letter No. 3 of 1963 and Law No. 1 of 1974 on Marriage).</w:t>
      </w:r>
    </w:p>
    <w:p>
      <w:pPr>
        <w:spacing w:before="0" w:after="80"/>
      </w:pPr>
    </w:p>
    <w:p>
      <w:pPr>
        <w:spacing w:before="160" w:after="80" w:line="276" w:lineRule="auto"/>
      </w:pPr>
      <w:r>
        <w:rPr>
          <w:rFonts w:ascii="Arial" w:hAnsi="Arial"/>
          <w:b/>
          <w:color w:val="0F172A"/>
          <w:sz w:val="21"/>
        </w:rPr>
        <w:t>##### B. Objective Requirements (Relating to the Subject Matter/Transaction)</w:t>
      </w:r>
    </w:p>
    <w:p>
      <w:pPr>
        <w:spacing w:before="0" w:after="80" w:line="276" w:lineRule="auto"/>
      </w:pPr>
      <w:r>
        <w:rPr>
          <w:rFonts w:ascii="Arial" w:hAnsi="Arial"/>
          <w:color w:val="1E293B"/>
          <w:sz w:val="20"/>
        </w:rPr>
        <w:t>3. **A Specific Subject Matter (*A Determinate Object*)**</w:t>
      </w:r>
    </w:p>
    <w:p>
      <w:pPr>
        <w:spacing w:before="0" w:after="80" w:line="276" w:lineRule="auto"/>
      </w:pPr>
      <w:r>
        <w:rPr>
          <w:rFonts w:ascii="Arial" w:hAnsi="Arial"/>
          <w:color w:val="1E293B"/>
          <w:sz w:val="20"/>
        </w:rPr>
        <w:t xml:space="preserve">   * The performance or obligation contemplated under the contract must be sufficiently certain, identifiable by type, and at least determinable in quantity at a future date (**Articles 1332 and 1333 of the Indonesian Civil Code**).</w:t>
      </w:r>
    </w:p>
    <w:p>
      <w:pPr>
        <w:spacing w:before="0" w:after="80" w:line="276" w:lineRule="auto"/>
      </w:pPr>
      <w:r>
        <w:rPr>
          <w:rFonts w:ascii="Arial" w:hAnsi="Arial"/>
          <w:color w:val="1E293B"/>
          <w:sz w:val="20"/>
        </w:rPr>
        <w:t xml:space="preserve">   * The object of the contract must concern commodities, rights, or commercial acts that can be lawfully traded.</w:t>
      </w:r>
    </w:p>
    <w:p>
      <w:pPr>
        <w:spacing w:before="0" w:after="80" w:line="276" w:lineRule="auto"/>
      </w:pPr>
      <w:r>
        <w:rPr>
          <w:rFonts w:ascii="Arial" w:hAnsi="Arial"/>
          <w:color w:val="1E293B"/>
          <w:sz w:val="20"/>
        </w:rPr>
        <w:t>4. **A Lawful Cause (*Legal Consideration / Geoorloofde Oorzaak*)**</w:t>
      </w:r>
    </w:p>
    <w:p>
      <w:pPr>
        <w:spacing w:before="0" w:after="80" w:line="276" w:lineRule="auto"/>
      </w:pPr>
      <w:r>
        <w:rPr>
          <w:rFonts w:ascii="Arial" w:hAnsi="Arial"/>
          <w:color w:val="1E293B"/>
          <w:sz w:val="20"/>
        </w:rPr>
        <w:t xml:space="preserve">   * The underlying consideration, purpose, and content of the agreement must not violate mandatory statutory provisions, public morality, or public policy (**Articles 1335 and 1337 of the Indonesian Civil Code**).</w:t>
      </w:r>
    </w:p>
    <w:p>
      <w:pPr>
        <w:spacing w:before="0" w:after="80" w:line="276" w:lineRule="auto"/>
      </w:pPr>
      <w:r>
        <w:rPr>
          <w:rFonts w:ascii="Arial" w:hAnsi="Arial"/>
          <w:color w:val="1E293B"/>
          <w:sz w:val="20"/>
        </w:rPr>
        <w:t xml:space="preserve">   * The term "cause" (*oorzaak*) refers to the objective legal end and content of the contract, rather than the subjective internal motives of the contracting parties.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Legal Consequences of Non-Compliance</w:t>
      </w:r>
    </w:p>
    <w:p>
      <w:pPr>
        <w:spacing w:before="0" w:after="80"/>
      </w:pPr>
    </w:p>
    <w:p>
      <w:pPr>
        <w:spacing w:before="0" w:after="80" w:line="276" w:lineRule="auto"/>
      </w:pPr>
      <w:r>
        <w:rPr>
          <w:rFonts w:ascii="Arial" w:hAnsi="Arial"/>
          <w:color w:val="1E293B"/>
          <w:sz w:val="20"/>
        </w:rPr>
        <w:t>* **Breach of Subjective Requirements (Prerequisites 1 &amp; 2):**</w:t>
      </w:r>
    </w:p>
    <w:p>
      <w:pPr>
        <w:spacing w:before="0" w:after="80" w:line="276" w:lineRule="auto"/>
      </w:pPr>
      <w:r>
        <w:rPr>
          <w:rFonts w:ascii="Arial" w:hAnsi="Arial"/>
          <w:color w:val="1E293B"/>
          <w:sz w:val="20"/>
        </w:rPr>
        <w:t xml:space="preserve">  The contract is **voidable (*vernietigbaar / dapat dibatalkan*)**. The contract remains valid and legally binding unless and until an aggrieved party or their legal guardian files a judicial petition for annulment before a competent court. (Under Article 1454 of the Indonesian Civil Code, the statute of limitations for an action to annul is five years).</w:t>
      </w:r>
    </w:p>
    <w:p>
      <w:pPr>
        <w:spacing w:before="0" w:after="80" w:line="276" w:lineRule="auto"/>
      </w:pPr>
      <w:r>
        <w:rPr>
          <w:rFonts w:ascii="Arial" w:hAnsi="Arial"/>
          <w:color w:val="1E293B"/>
          <w:sz w:val="20"/>
        </w:rPr>
        <w:t>* **Breach of Objective Requirements (Prerequisites 3 &amp; 4):**</w:t>
      </w:r>
    </w:p>
    <w:p>
      <w:pPr>
        <w:spacing w:before="0" w:after="80" w:line="276" w:lineRule="auto"/>
      </w:pPr>
      <w:r>
        <w:rPr>
          <w:rFonts w:ascii="Arial" w:hAnsi="Arial"/>
          <w:color w:val="1E293B"/>
          <w:sz w:val="20"/>
        </w:rPr>
        <w:t xml:space="preserve">  The contract is **null and void *ab initio* (*nietig / batal demi hukum*)**. Under the law, the agreement is treated as if it never existed; it generates no enforceable rights or obligations, possesses no executory power, and cannot be ratified or remedied by the parties.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Interaction with Overarching Contractual Doctrines</w:t>
      </w:r>
    </w:p>
    <w:p>
      <w:pPr>
        <w:spacing w:before="0" w:after="80" w:line="276" w:lineRule="auto"/>
      </w:pPr>
      <w:r>
        <w:rPr>
          <w:rFonts w:ascii="Arial" w:hAnsi="Arial"/>
          <w:color w:val="1E293B"/>
          <w:sz w:val="20"/>
        </w:rPr>
        <w:t>* **Freedom of Contract (*Party Autonomy*) &amp; *Pacta Sunt Servanda* (Article 1338, Paragraph 1 of the Indonesian Civil Code):** Contracts legally entered into serve as binding law between the executing parties. The invocation of *pacta sunt servanda* is strictly contingent upon full compliance with Article 1320.</w:t>
      </w:r>
    </w:p>
    <w:p>
      <w:pPr>
        <w:spacing w:before="0" w:after="80" w:line="276" w:lineRule="auto"/>
      </w:pPr>
      <w:r>
        <w:rPr>
          <w:rFonts w:ascii="Arial" w:hAnsi="Arial"/>
          <w:color w:val="1E293B"/>
          <w:sz w:val="20"/>
        </w:rPr>
        <w:t>* **Good Faith (*Te Goeder Trouw*) (Article 1338, Paragraph 3 of the Indonesian Civil Code):** All contracts must be performed in good faith.</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Practical Compliance Guidance (Civil Risk Mitigation)</w:t>
      </w:r>
    </w:p>
    <w:p>
      <w:pPr>
        <w:spacing w:before="0" w:after="80" w:line="276" w:lineRule="auto"/>
      </w:pPr>
      <w:r>
        <w:rPr>
          <w:rFonts w:ascii="Arial" w:hAnsi="Arial"/>
          <w:color w:val="1E293B"/>
          <w:sz w:val="20"/>
        </w:rPr>
        <w:t>1. **Due Diligence on Legal Standing &amp; Authority:** Ensure that all signatories possess verified capacity. For Indonesian Limited Liability Companies (PT), examine the Articles of Association, NIB, and Power of Attorney to verify that the Board of Directors acts within its representative authority under Law No. 40/2007.</w:t>
      </w:r>
    </w:p>
    <w:p>
      <w:pPr>
        <w:spacing w:before="0" w:after="80" w:line="276" w:lineRule="auto"/>
      </w:pPr>
      <w:r>
        <w:rPr>
          <w:rFonts w:ascii="Arial" w:hAnsi="Arial"/>
          <w:color w:val="1E293B"/>
          <w:sz w:val="20"/>
        </w:rPr>
        <w:t>2. **Evidencing Mutual Consent:** Avoid drafting practices or asymmetric contractual clauses that can be construed as exploitation of a dominant bargaining position or undue influence (*misbruik van omstandigheden*).</w:t>
      </w:r>
    </w:p>
    <w:p>
      <w:pPr>
        <w:spacing w:before="0" w:after="80" w:line="276" w:lineRule="auto"/>
      </w:pPr>
      <w:r>
        <w:rPr>
          <w:rFonts w:ascii="Arial" w:hAnsi="Arial"/>
          <w:color w:val="1E293B"/>
          <w:sz w:val="20"/>
        </w:rPr>
        <w:t>3. **Clear and Determinable Scope of Work:** Define rights, obligations, deliverables, formulas, and milestones with unambiguous precision to prevent nullification due to vagueness or indeterminate subject matter.</w:t>
      </w:r>
    </w:p>
    <w:p>
      <w:pPr>
        <w:spacing w:before="0" w:after="80" w:line="276" w:lineRule="auto"/>
      </w:pPr>
      <w:r>
        <w:rPr>
          <w:rFonts w:ascii="Arial" w:hAnsi="Arial"/>
          <w:color w:val="1E293B"/>
          <w:sz w:val="20"/>
        </w:rPr>
        <w:t>4. **Statutory and Public Policy Review:** Ensure that the underlying transaction complies with mandatory Indonesian statutory law (*dwingend recht*), licensing requirements, competition regulations, and public policy standards.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