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"can a shareholder also be an employee"</w:t>
      </w:r>
    </w:p>
    <w:p>
      <w:pPr>
        <w:spacing w:before="0" w:after="360"/>
        <w:jc w:val="center"/>
      </w:pPr>
      <w:r>
        <w:rPr>
          <w:rFonts w:ascii="Arial" w:hAnsi="Arial"/>
          <w:color w:val="64748B"/>
          <w:sz w:val="17"/>
        </w:rPr>
        <w:t>CATEGORY: CORPORATE &amp; INVESTMENT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Secara hukum di Indonesia, **seorang pemegang saham (shareholder) DAPAT merangkap status sebagai pekerja/karyawan (employee)** pada Perseroan Terbatas (PT) yang sama, dengan tunduk pada batasan hukum korporasi, hukum ketenagakerjaan, dan hukum perpajakan yang berlaku.</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1. Dasar Hukum Kedudukan Badan Hukum Terpisah (Separate Legal Personality)</w:t>
      </w:r>
    </w:p>
    <w:p>
      <w:pPr>
        <w:spacing w:before="0" w:after="80" w:line="276" w:lineRule="auto"/>
      </w:pPr>
      <w:r>
        <w:rPr>
          <w:rFonts w:ascii="Arial" w:hAnsi="Arial"/>
          <w:color w:val="1E293B"/>
          <w:sz w:val="20"/>
        </w:rPr>
        <w:t>Berdasarkan **Pasal 1 angka 1 Undang-Undang No. 40 Tahun 2007 tentang Perseroan Terbatas ("UU PT")**, sebagaimana telah diubah oleh **Undang-Undang No. 6 Tahun 2023 tentang Penetapan Perppu Cipta Kerja menjadi Undang-Undang ("UU Cipta Kerja")**:</w:t>
      </w:r>
    </w:p>
    <w:p>
      <w:pPr>
        <w:spacing w:before="0" w:after="80" w:line="276" w:lineRule="auto"/>
      </w:pPr>
      <w:r>
        <w:rPr>
          <w:rFonts w:ascii="Arial" w:hAnsi="Arial"/>
          <w:color w:val="1E293B"/>
          <w:sz w:val="20"/>
        </w:rPr>
        <w:t>* PT adalah badan hukum yang merupakan persekutuan modal, didirikan berdasarkan perjanjian, dan melakukan kegiatan usaha dengan modal dasar yang seluruhnya terbagi dalam saham.</w:t>
      </w:r>
    </w:p>
    <w:p>
      <w:pPr>
        <w:spacing w:before="0" w:after="80" w:line="276" w:lineRule="auto"/>
      </w:pPr>
      <w:r>
        <w:rPr>
          <w:rFonts w:ascii="Arial" w:hAnsi="Arial"/>
          <w:color w:val="1E293B"/>
          <w:sz w:val="20"/>
        </w:rPr>
        <w:t>* PT merupakan subjek hukum mandiri (*persona standi in judicio*) yang terpisah dari pemiliknya (pemegang saham) berdasarkan doktrin *separate legal entity*.</w:t>
      </w:r>
    </w:p>
    <w:p>
      <w:pPr>
        <w:spacing w:before="0" w:after="80" w:line="276" w:lineRule="auto"/>
      </w:pPr>
      <w:r>
        <w:rPr>
          <w:rFonts w:ascii="Arial" w:hAnsi="Arial"/>
          <w:color w:val="1E293B"/>
          <w:sz w:val="20"/>
        </w:rPr>
        <w:t>* Oleh karena itu, hubungan hukum antara pemegang saham selaku pemilik modal dan perseroan selaku entitas mandiri tidak secara otomatis menghalangi perseroan untuk mengadakan perikatan kerja kontraktual terpisah dengan orang perseorangan tersebut.</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Keabsahan Hubungan Kerja Berdasarkan Hukum Ketenagakerjaan</w:t>
      </w:r>
    </w:p>
    <w:p>
      <w:pPr>
        <w:spacing w:before="0" w:after="80" w:line="276" w:lineRule="auto"/>
      </w:pPr>
      <w:r>
        <w:rPr>
          <w:rFonts w:ascii="Arial" w:hAnsi="Arial"/>
          <w:color w:val="1E293B"/>
          <w:sz w:val="20"/>
        </w:rPr>
        <w:t>Berdasarkan **Pasal 1 angka 15 Undang-Undang No. 13 Tahun 2003 tentang Ketenagakerjaan ("UU Ketenagakerjaan")** jo. UU Cipta Kerja:</w:t>
      </w:r>
    </w:p>
    <w:p>
      <w:pPr>
        <w:spacing w:before="0" w:after="80" w:line="276" w:lineRule="auto"/>
      </w:pPr>
      <w:r>
        <w:rPr>
          <w:rFonts w:ascii="Arial" w:hAnsi="Arial"/>
          <w:color w:val="1E293B"/>
          <w:sz w:val="20"/>
        </w:rPr>
        <w:t>* Hubungan kerja adalah hubungan antara pengusaha dengan pekerja/buruh berdasarkan **Perjanjian Kerja**, yang mempunyai unsur-unsur kumulatif:</w:t>
      </w:r>
    </w:p>
    <w:p>
      <w:pPr>
        <w:spacing w:before="0" w:after="80" w:line="276" w:lineRule="auto"/>
      </w:pPr>
      <w:r>
        <w:rPr>
          <w:rFonts w:ascii="Arial" w:hAnsi="Arial"/>
          <w:color w:val="1E293B"/>
          <w:sz w:val="20"/>
        </w:rPr>
        <w:t xml:space="preserve">  1. **Pekerjaan (*work*)**: Adanya tugas nyata yang diperjanjikan;</w:t>
      </w:r>
    </w:p>
    <w:p>
      <w:pPr>
        <w:spacing w:before="0" w:after="80" w:line="276" w:lineRule="auto"/>
      </w:pPr>
      <w:r>
        <w:rPr>
          <w:rFonts w:ascii="Arial" w:hAnsi="Arial"/>
          <w:color w:val="1E293B"/>
          <w:sz w:val="20"/>
        </w:rPr>
        <w:t xml:space="preserve">  2. **Upah (*wage*)**: Adanya imbalan berkala atas pelaksanaan pekerjaan;</w:t>
      </w:r>
    </w:p>
    <w:p>
      <w:pPr>
        <w:spacing w:before="0" w:after="80" w:line="276" w:lineRule="auto"/>
      </w:pPr>
      <w:r>
        <w:rPr>
          <w:rFonts w:ascii="Arial" w:hAnsi="Arial"/>
          <w:color w:val="1E293B"/>
          <w:sz w:val="20"/>
        </w:rPr>
        <w:t xml:space="preserve">  3. **Perintah (*subordination/direction*)**: Adanya unsur subordinasi di mana pekerja tunduk pada arahan, kendali, dan pengawasan manajemen.</w:t>
      </w:r>
    </w:p>
    <w:p>
      <w:pPr>
        <w:spacing w:before="0" w:after="80"/>
      </w:pPr>
    </w:p>
    <w:p>
      <w:pPr>
        <w:spacing w:before="0" w:after="80" w:line="276" w:lineRule="auto"/>
      </w:pPr>
      <w:r>
        <w:rPr>
          <w:rFonts w:ascii="Arial" w:hAnsi="Arial"/>
          <w:color w:val="1E293B"/>
          <w:sz w:val="20"/>
        </w:rPr>
        <w:t>Sepanjang ketiga unsur kumulatif ini terpenuhi, seorang pemegang saham sah secara hukum mengikatkan diri dalam Perjanjian Kerja (baik PKWT maupun PKWTT sesuai **PP No. 35 Tahun 2021**) dengan Direksi yang bertindak untuk dan atas nama PT (**Pasal 92 ayat (1) dan Pasal 98 UU PT**).</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Batasan Subordinasi dan Konflik Kepentingan</w:t>
      </w:r>
    </w:p>
    <w:p>
      <w:pPr>
        <w:spacing w:before="0" w:after="80" w:line="276" w:lineRule="auto"/>
      </w:pPr>
      <w:r>
        <w:rPr>
          <w:rFonts w:ascii="Arial" w:hAnsi="Arial"/>
          <w:color w:val="1E293B"/>
          <w:sz w:val="20"/>
        </w:rPr>
        <w:t>Keabsahan peran ganda ini memiliki pengecualian dan batasan yuridis penting:</w:t>
      </w:r>
    </w:p>
    <w:p>
      <w:pPr>
        <w:spacing w:before="0" w:after="80" w:line="276" w:lineRule="auto"/>
      </w:pPr>
      <w:r>
        <w:rPr>
          <w:rFonts w:ascii="Arial" w:hAnsi="Arial"/>
          <w:color w:val="1E293B"/>
          <w:sz w:val="20"/>
        </w:rPr>
        <w:t>1. **Unsur Subordinasi (Perintah):**</w:t>
      </w:r>
    </w:p>
    <w:p>
      <w:pPr>
        <w:spacing w:before="0" w:after="80" w:line="276" w:lineRule="auto"/>
      </w:pPr>
      <w:r>
        <w:rPr>
          <w:rFonts w:ascii="Arial" w:hAnsi="Arial"/>
          <w:color w:val="1E293B"/>
          <w:sz w:val="20"/>
        </w:rPr>
        <w:t xml:space="preserve">   * Jika pemegang saham adalah **pemegang saham tunggal atau pemegang saham mayoritas mutlak yang sekaligus menjabat Direktur Utama**, unsur subordinasi (*perintah*) menjadi kabur (*illusory*). Tidak ada pihak yang secara substantif memberikan perintah dan pengawasan atasan-bawahan, sehingga hubungan kerja berisiko batal demi hukum karena tidak memenuhi syarat kausa yang halal atau hilangnya unsur subordinasi.</w:t>
      </w:r>
    </w:p>
    <w:p>
      <w:pPr>
        <w:spacing w:before="0" w:after="80" w:line="276" w:lineRule="auto"/>
      </w:pPr>
      <w:r>
        <w:rPr>
          <w:rFonts w:ascii="Arial" w:hAnsi="Arial"/>
          <w:color w:val="1E293B"/>
          <w:sz w:val="20"/>
        </w:rPr>
        <w:t xml:space="preserve">   * Hubungan kerja paling valid dan *enforceable* secara hukum terjadi pada **pemegang saham minoritas** atau pemegang saham yang tidak memegang kendali operasional langsung di mana Direksi menjalankan fungsi pengawasan independen atas dirinya.</w:t>
      </w:r>
    </w:p>
    <w:p>
      <w:pPr>
        <w:spacing w:before="0" w:after="80" w:line="276" w:lineRule="auto"/>
      </w:pPr>
      <w:r>
        <w:rPr>
          <w:rFonts w:ascii="Arial" w:hAnsi="Arial"/>
          <w:color w:val="1E293B"/>
          <w:sz w:val="20"/>
        </w:rPr>
        <w:t>2. **Kesesuaian dengan KUHPerdata:**</w:t>
      </w:r>
    </w:p>
    <w:p>
      <w:pPr>
        <w:spacing w:before="0" w:after="80" w:line="276" w:lineRule="auto"/>
      </w:pPr>
      <w:r>
        <w:rPr>
          <w:rFonts w:ascii="Arial" w:hAnsi="Arial"/>
          <w:color w:val="1E293B"/>
          <w:sz w:val="20"/>
        </w:rPr>
        <w:t xml:space="preserve">   * Perjanjian kerja tunduk pada syarat sahnya perjanjian dalam **Pasal 1320 Kitab Undang-Undang Hukum Perdata (KUHPerdata)**, termasuk kapasitas untuk bertindak (*bekwaamheid*) dan suatu sebab yang halal (*geoorloofde oorzaak*).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Pemisahan Hak dan Kewajiban (Hak Saham vs. Hak Pekerja)</w:t>
      </w:r>
    </w:p>
    <w:p>
      <w:pPr>
        <w:spacing w:before="0" w:after="80" w:line="276" w:lineRule="auto"/>
      </w:pPr>
      <w:r>
        <w:rPr>
          <w:rFonts w:ascii="Arial" w:hAnsi="Arial"/>
          <w:color w:val="1E293B"/>
          <w:sz w:val="20"/>
        </w:rPr>
        <w:t>Orang perseorangan yang memegang dua status ini memiliki hak yang terpisah secara tegas:</w:t>
      </w:r>
    </w:p>
    <w:p>
      <w:pPr>
        <w:spacing w:before="0" w:after="80" w:line="276" w:lineRule="auto"/>
      </w:pPr>
      <w:r>
        <w:rPr>
          <w:rFonts w:ascii="Arial" w:hAnsi="Arial"/>
          <w:color w:val="1E293B"/>
          <w:sz w:val="20"/>
        </w:rPr>
        <w:t>* **Hak Selaku Pemegang Saham (Pasal 52 UU PT):**</w:t>
      </w:r>
    </w:p>
    <w:p>
      <w:pPr>
        <w:spacing w:before="0" w:after="80" w:line="276" w:lineRule="auto"/>
      </w:pPr>
      <w:r>
        <w:rPr>
          <w:rFonts w:ascii="Arial" w:hAnsi="Arial"/>
          <w:color w:val="1E293B"/>
          <w:sz w:val="20"/>
        </w:rPr>
        <w:t xml:space="preserve">  * Menghadiri dan mengeluarkan suara dalam RUPS;</w:t>
      </w:r>
    </w:p>
    <w:p>
      <w:pPr>
        <w:spacing w:before="0" w:after="80" w:line="276" w:lineRule="auto"/>
      </w:pPr>
      <w:r>
        <w:rPr>
          <w:rFonts w:ascii="Arial" w:hAnsi="Arial"/>
          <w:color w:val="1E293B"/>
          <w:sz w:val="20"/>
        </w:rPr>
        <w:t xml:space="preserve">  * Menerima pembayaran dividen dan sisa kekayaan hasil likuidasi;</w:t>
      </w:r>
    </w:p>
    <w:p>
      <w:pPr>
        <w:spacing w:before="0" w:after="80" w:line="276" w:lineRule="auto"/>
      </w:pPr>
      <w:r>
        <w:rPr>
          <w:rFonts w:ascii="Arial" w:hAnsi="Arial"/>
          <w:color w:val="1E293B"/>
          <w:sz w:val="20"/>
        </w:rPr>
        <w:t xml:space="preserve">  * Menjalankan hak-hak kepemilikan modal lainnya.</w:t>
      </w:r>
    </w:p>
    <w:p>
      <w:pPr>
        <w:spacing w:before="0" w:after="80" w:line="276" w:lineRule="auto"/>
      </w:pPr>
      <w:r>
        <w:rPr>
          <w:rFonts w:ascii="Arial" w:hAnsi="Arial"/>
          <w:color w:val="1E293B"/>
          <w:sz w:val="20"/>
        </w:rPr>
        <w:t>* **Hak Selaku Pekerja (UU Ketenagakerjaan jo. PP 35/2021 &amp; PP 36/2021):**</w:t>
      </w:r>
    </w:p>
    <w:p>
      <w:pPr>
        <w:spacing w:before="0" w:after="80" w:line="276" w:lineRule="auto"/>
      </w:pPr>
      <w:r>
        <w:rPr>
          <w:rFonts w:ascii="Arial" w:hAnsi="Arial"/>
          <w:color w:val="1E293B"/>
          <w:sz w:val="20"/>
        </w:rPr>
        <w:t xml:space="preserve">  * Hak atas upah bulanan sekurang-kurangnya upah minimum;</w:t>
      </w:r>
    </w:p>
    <w:p>
      <w:pPr>
        <w:spacing w:before="0" w:after="80" w:line="276" w:lineRule="auto"/>
      </w:pPr>
      <w:r>
        <w:rPr>
          <w:rFonts w:ascii="Arial" w:hAnsi="Arial"/>
          <w:color w:val="1E293B"/>
          <w:sz w:val="20"/>
        </w:rPr>
        <w:t xml:space="preserve">  * Hak atas jaminan sosial ketenagakerjaan dan kesehatan (BPJS Ketenagakerjaan dan BPJS Kesehatan);</w:t>
      </w:r>
    </w:p>
    <w:p>
      <w:pPr>
        <w:spacing w:before="0" w:after="80" w:line="276" w:lineRule="auto"/>
      </w:pPr>
      <w:r>
        <w:rPr>
          <w:rFonts w:ascii="Arial" w:hAnsi="Arial"/>
          <w:color w:val="1E293B"/>
          <w:sz w:val="20"/>
        </w:rPr>
        <w:t xml:space="preserve">  * Hak atas uang pesangon, uang penghargaan masa kerja, atau kompensasi PKWT jika terjadi Pemutusan Hubungan Kerja (PHK).</w:t>
      </w:r>
    </w:p>
    <w:p>
      <w:pPr>
        <w:spacing w:before="0" w:after="80" w:line="276" w:lineRule="auto"/>
      </w:pPr>
      <w:r>
        <w:rPr>
          <w:rFonts w:ascii="Arial" w:hAnsi="Arial"/>
          <w:color w:val="1E293B"/>
          <w:sz w:val="20"/>
        </w:rPr>
        <w:t xml:space="preserve">  * *Catatan:* Kerugian pemegang saham atau status kepailitan saham tidak serta-merta menggugurkan hak upah terutang sebagai pekerja (*privilege credit* berdasarkan Pasal 95 UU Ketenagakerjaan).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Implikasi Khusus: Pajak dan Tenaga Kerja Asing (WNA)</w:t>
      </w:r>
    </w:p>
    <w:p>
      <w:pPr>
        <w:spacing w:before="0" w:after="80" w:line="276" w:lineRule="auto"/>
      </w:pPr>
      <w:r>
        <w:rPr>
          <w:rFonts w:ascii="Arial" w:hAnsi="Arial"/>
          <w:color w:val="1E293B"/>
          <w:sz w:val="20"/>
        </w:rPr>
        <w:t>1. **Aspek Perpajakan (UU PPh jo. UU HPP No. 7/2021):**</w:t>
      </w:r>
    </w:p>
    <w:p>
      <w:pPr>
        <w:spacing w:before="0" w:after="80" w:line="276" w:lineRule="auto"/>
      </w:pPr>
      <w:r>
        <w:rPr>
          <w:rFonts w:ascii="Arial" w:hAnsi="Arial"/>
          <w:color w:val="1E293B"/>
          <w:sz w:val="20"/>
        </w:rPr>
        <w:t xml:space="preserve">   * Remunerasi/Gaji atas dasar hubungan kerja dipotong **PPh Pasal 21** sebagai biaya operasional PT (*deductible expense*).</w:t>
      </w:r>
    </w:p>
    <w:p>
      <w:pPr>
        <w:spacing w:before="0" w:after="80" w:line="276" w:lineRule="auto"/>
      </w:pPr>
      <w:r>
        <w:rPr>
          <w:rFonts w:ascii="Arial" w:hAnsi="Arial"/>
          <w:color w:val="1E293B"/>
          <w:sz w:val="20"/>
        </w:rPr>
        <w:t xml:space="preserve">   * Dividen atas kepemilikan saham dikenakan rezim pajak dividen (dapat dikecualikan dari objek pajak penghasilan bila diinvestasikan kembali di wilayah NKRI sesuai kriteria Pasal 4 ayat (3) huruf f UU PPh).</w:t>
      </w:r>
    </w:p>
    <w:p>
      <w:pPr>
        <w:spacing w:before="0" w:after="80" w:line="276" w:lineRule="auto"/>
      </w:pPr>
      <w:r>
        <w:rPr>
          <w:rFonts w:ascii="Arial" w:hAnsi="Arial"/>
          <w:color w:val="1E293B"/>
          <w:sz w:val="20"/>
        </w:rPr>
        <w:t>2. **Jika Pemegang Saham adalah Orang Asing (WNA):**</w:t>
      </w:r>
    </w:p>
    <w:p>
      <w:pPr>
        <w:spacing w:before="0" w:after="80" w:line="276" w:lineRule="auto"/>
      </w:pPr>
      <w:r>
        <w:rPr>
          <w:rFonts w:ascii="Arial" w:hAnsi="Arial"/>
          <w:color w:val="1E293B"/>
          <w:sz w:val="20"/>
        </w:rPr>
        <w:t xml:space="preserve">   * Merujuk pada **PP No. 34 Tahun 2021 tentang Penggunaan Tenaga Kerja Asing (TKA)**:</w:t>
      </w:r>
    </w:p>
    <w:p>
      <w:pPr>
        <w:spacing w:before="0" w:after="80" w:line="276" w:lineRule="auto"/>
      </w:pPr>
      <w:r>
        <w:rPr>
          <w:rFonts w:ascii="Arial" w:hAnsi="Arial"/>
          <w:color w:val="1E293B"/>
          <w:sz w:val="20"/>
        </w:rPr>
        <w:t xml:space="preserve">     * Pemegang saham WNA yang juga menjabat sebagai Direksi/Komisaris memiliki pengecualian pengesahan RPTKA tertentu (Pasal 19 ayat (1) huruf b PP 34/2021).</w:t>
      </w:r>
    </w:p>
    <w:p>
      <w:pPr>
        <w:spacing w:before="0" w:after="80" w:line="276" w:lineRule="auto"/>
      </w:pPr>
      <w:r>
        <w:rPr>
          <w:rFonts w:ascii="Arial" w:hAnsi="Arial"/>
          <w:color w:val="1E293B"/>
          <w:sz w:val="20"/>
        </w:rPr>
        <w:t xml:space="preserve">     * Namun, jika pemegang saham WNA menjadi **pekerja/staf biasa** (bukan Direksi/Komisaris), perseroan **wajib** mengajukan RPTKA, membayar Dana Kompensasi Penggunaan TKA (DKPTKA), dan memiliki izin kerja/ITAS kerja yang sah. Merangkap tanpa izin ketenagakerjaan merupakan pelanggaran keimigrasian dan ketenagakerjaan pidana.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6. Rekomendasi Kepatuhan Praktis</w:t>
      </w:r>
    </w:p>
    <w:p>
      <w:pPr>
        <w:spacing w:before="0" w:after="80" w:line="276" w:lineRule="auto"/>
      </w:pPr>
      <w:r>
        <w:rPr>
          <w:rFonts w:ascii="Arial" w:hAnsi="Arial"/>
          <w:color w:val="1E293B"/>
          <w:sz w:val="20"/>
        </w:rPr>
        <w:t>1. **Dokumentasi Terpisah:** Susun Perjanjian Kerja tertulis yang jelas dan terpisah secara mutlak dari Surat Saham atau Akta Pendirian Perseroan.</w:t>
      </w:r>
    </w:p>
    <w:p>
      <w:pPr>
        <w:spacing w:before="0" w:after="80" w:line="276" w:lineRule="auto"/>
      </w:pPr>
      <w:r>
        <w:rPr>
          <w:rFonts w:ascii="Arial" w:hAnsi="Arial"/>
          <w:color w:val="1E293B"/>
          <w:sz w:val="20"/>
        </w:rPr>
        <w:t>2. **Kewenangan Penandatanganan:** Pastikan Perjanjian Kerja ditandatangani oleh anggota Direksi yang berwenang mewakili PT, bukan oleh pemegang saham itu sendiri atas nama kedua belah pihak (*avoid self-dealing*).</w:t>
      </w:r>
    </w:p>
    <w:p>
      <w:pPr>
        <w:spacing w:before="0" w:after="80" w:line="276" w:lineRule="auto"/>
      </w:pPr>
      <w:r>
        <w:rPr>
          <w:rFonts w:ascii="Arial" w:hAnsi="Arial"/>
          <w:color w:val="1E293B"/>
          <w:sz w:val="20"/>
        </w:rPr>
        <w:t>3. **Pemisahan Penggajian:** Masukkan penghasilan kerja ke dalam *payroll system* resmi dengan slip gaji, pendaftaran BPJS, dan pelaporan SPT PPh 21.</w:t>
      </w:r>
    </w:p>
    <w:p>
      <w:pPr>
        <w:spacing w:before="0" w:after="80"/>
      </w:pPr>
    </w:p>
    <w:p>
      <w:pPr>
        <w:spacing w:before="0" w:after="80" w:line="276" w:lineRule="auto"/>
      </w:pPr>
      <w:r>
        <w:rPr>
          <w:rFonts w:ascii="Arial" w:hAnsi="Arial"/>
          <w:color w:val="1E293B"/>
          <w:sz w:val="20"/>
        </w:rPr>
        <w:t>---</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0" w:after="80" w:line="276" w:lineRule="auto"/>
      </w:pPr>
      <w:r>
        <w:rPr>
          <w:rFonts w:ascii="Arial" w:hAnsi="Arial"/>
          <w:color w:val="1E293B"/>
          <w:sz w:val="20"/>
        </w:rPr>
        <w:t>在印度尼西亚法律项下，**公司股东（Shareholder）完全可以兼任同一家有限责任公司（Perseroan Terbatas / PT）的员工（Employee）**，但前提是必须严格遵守印尼公司法、劳动法以及税务法的相关法定限制。</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1. 独立法人地位的法律基础 (Separate Legal Personality)</w:t>
      </w:r>
    </w:p>
    <w:p>
      <w:pPr>
        <w:spacing w:before="0" w:after="80" w:line="276" w:lineRule="auto"/>
      </w:pPr>
      <w:r>
        <w:rPr>
          <w:rFonts w:ascii="Arial" w:hAnsi="Arial"/>
          <w:b/>
          <w:color w:val="0F172A"/>
          <w:sz w:val="21"/>
        </w:rPr>
        <w:t>根据经**2023年第6号《创造就业综合法》**修订的**2007年第40号《有限责任公司法》（“UU PT”）第1条第1款**：</w:t>
      </w:r>
    </w:p>
    <w:p>
      <w:pPr>
        <w:spacing w:before="0" w:after="80" w:line="276" w:lineRule="auto"/>
      </w:pPr>
      <w:r>
        <w:rPr>
          <w:rFonts w:ascii="Arial" w:hAnsi="Arial"/>
          <w:b/>
          <w:color w:val="0F172A"/>
          <w:sz w:val="21"/>
        </w:rPr>
        <w:t>* 有限责任公司（PT）是依法设立的资本联合体法人，基于协议设立，其法定资本全部划分为股份。</w:t>
      </w:r>
    </w:p>
    <w:p>
      <w:pPr>
        <w:spacing w:before="0" w:after="80" w:line="276" w:lineRule="auto"/>
      </w:pPr>
      <w:r>
        <w:rPr>
          <w:rFonts w:ascii="Arial" w:hAnsi="Arial"/>
          <w:color w:val="1E293B"/>
          <w:sz w:val="20"/>
        </w:rPr>
        <w:t>* 公司具有完全独立的民事主体资格（*persona standi in judicio*），与股东个人财产及法律人格严格分离（法人独立地位原则）。</w:t>
      </w:r>
    </w:p>
    <w:p>
      <w:pPr>
        <w:spacing w:before="0" w:after="80" w:line="276" w:lineRule="auto"/>
      </w:pPr>
      <w:r>
        <w:rPr>
          <w:rFonts w:ascii="Arial" w:hAnsi="Arial"/>
          <w:color w:val="1E293B"/>
          <w:sz w:val="20"/>
        </w:rPr>
        <w:t>* 因此，股东作为资本所有者与公司之间的投资关系，在法律上并不排斥公司以独立法人身份与该自然人另行建立合同性质的雇佣劳动关系。</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印尼劳动法对雇佣关系有效性的认定标准</w:t>
      </w:r>
    </w:p>
    <w:p>
      <w:pPr>
        <w:spacing w:before="0" w:after="80" w:line="276" w:lineRule="auto"/>
      </w:pPr>
      <w:r>
        <w:rPr>
          <w:rFonts w:ascii="Arial" w:hAnsi="Arial"/>
          <w:color w:val="1E293B"/>
          <w:sz w:val="20"/>
        </w:rPr>
        <w:t>根据经《创造就业综合法》修订的**2003年第13号《劳动法》第1条第15款**：</w:t>
      </w:r>
    </w:p>
    <w:p>
      <w:pPr>
        <w:spacing w:before="0" w:after="80" w:line="276" w:lineRule="auto"/>
      </w:pPr>
      <w:r>
        <w:rPr>
          <w:rFonts w:ascii="Arial" w:hAnsi="Arial"/>
          <w:color w:val="1E293B"/>
          <w:sz w:val="20"/>
        </w:rPr>
        <w:t>* 劳动关系是指用人单位与劳动者基于**劳动合同（Perjanjian Kerja）**建立的关系，且必须同时具备以下三项法定构成要件：</w:t>
      </w:r>
    </w:p>
    <w:p>
      <w:pPr>
        <w:spacing w:before="0" w:after="80" w:line="276" w:lineRule="auto"/>
      </w:pPr>
      <w:r>
        <w:rPr>
          <w:rFonts w:ascii="Arial" w:hAnsi="Arial"/>
          <w:color w:val="1E293B"/>
          <w:sz w:val="20"/>
        </w:rPr>
        <w:t xml:space="preserve">  1. **工作内容（*Pekerjaan / Work*）**：合同约定的具体、真实的履职职责；</w:t>
      </w:r>
    </w:p>
    <w:p>
      <w:pPr>
        <w:spacing w:before="0" w:after="80" w:line="276" w:lineRule="auto"/>
      </w:pPr>
      <w:r>
        <w:rPr>
          <w:rFonts w:ascii="Arial" w:hAnsi="Arial"/>
          <w:color w:val="1E293B"/>
          <w:sz w:val="20"/>
        </w:rPr>
        <w:t xml:space="preserve">  2. **劳动报酬（*Upah / Wage*）**：因提供劳动而由用人单位定期支付的工资报酬；</w:t>
      </w:r>
    </w:p>
    <w:p>
      <w:pPr>
        <w:spacing w:before="0" w:after="80" w:line="276" w:lineRule="auto"/>
      </w:pPr>
      <w:r>
        <w:rPr>
          <w:rFonts w:ascii="Arial" w:hAnsi="Arial"/>
          <w:color w:val="1E293B"/>
          <w:sz w:val="20"/>
        </w:rPr>
        <w:t xml:space="preserve">  3. **指挥监督/从属性（*Perintah / Subordination*）**：劳动者处于受管理地位，接受管理层的工作指令、约束与考核监督。</w:t>
      </w:r>
    </w:p>
    <w:p>
      <w:pPr>
        <w:spacing w:before="0" w:after="80"/>
      </w:pPr>
    </w:p>
    <w:p>
      <w:pPr>
        <w:spacing w:before="0" w:after="80" w:line="276" w:lineRule="auto"/>
      </w:pPr>
      <w:r>
        <w:rPr>
          <w:rFonts w:ascii="Arial" w:hAnsi="Arial"/>
          <w:color w:val="1E293B"/>
          <w:sz w:val="20"/>
        </w:rPr>
        <w:t>只要上述三项要件实质完备，股东完全有权依法与代表公司行使管理权的董事会（依据**UU PT 第92条第1款及第98条**）签署劳动合同（包括固定期限PKWT或无固定期限PKWTT，遵循**2021年第35号政府条例**）。</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从属性限制与利益冲突 (Subordination &amp; Conflicts of Interest)</w:t>
      </w:r>
    </w:p>
    <w:p>
      <w:pPr>
        <w:spacing w:before="0" w:after="80" w:line="276" w:lineRule="auto"/>
      </w:pPr>
      <w:r>
        <w:rPr>
          <w:rFonts w:ascii="Arial" w:hAnsi="Arial"/>
          <w:color w:val="1E293B"/>
          <w:sz w:val="20"/>
        </w:rPr>
        <w:t>股东兼任员工具有重要的法律边界与例外：</w:t>
      </w:r>
    </w:p>
    <w:p>
      <w:pPr>
        <w:spacing w:before="0" w:after="80" w:line="276" w:lineRule="auto"/>
      </w:pPr>
      <w:r>
        <w:rPr>
          <w:rFonts w:ascii="Arial" w:hAnsi="Arial"/>
          <w:color w:val="1E293B"/>
          <w:sz w:val="20"/>
        </w:rPr>
        <w:t>1. **指挥监督关系（从属性）的法律审查：**</w:t>
      </w:r>
    </w:p>
    <w:p>
      <w:pPr>
        <w:spacing w:before="0" w:after="80" w:line="276" w:lineRule="auto"/>
      </w:pPr>
      <w:r>
        <w:rPr>
          <w:rFonts w:ascii="Arial" w:hAnsi="Arial"/>
          <w:color w:val="1E293B"/>
          <w:sz w:val="20"/>
        </w:rPr>
        <w:t xml:space="preserve">   * 若该股东为**一人股东或绝对控股股东，且同时兼任公司唯一董事/执行总裁**，则劳动法上的“从属性（*Perintah*）”在实质上将沦为虚构。由于缺乏独立的主体对其进行指令与考评，该雇佣关系极易因丧失“从属性要件”而被司法机关认定为自始无效。</w:t>
      </w:r>
    </w:p>
    <w:p>
      <w:pPr>
        <w:spacing w:before="0" w:after="80" w:line="276" w:lineRule="auto"/>
      </w:pPr>
      <w:r>
        <w:rPr>
          <w:rFonts w:ascii="Arial" w:hAnsi="Arial"/>
          <w:color w:val="1E293B"/>
          <w:sz w:val="20"/>
        </w:rPr>
        <w:t xml:space="preserve">   * 因此，兼任劳动关系在法律上最稳固、最具有执行力的情况是**少数股股东（Minority Shareholder）**或非控股股东，其日常工作由独立的董事会实施实际管理与监督。</w:t>
      </w:r>
    </w:p>
    <w:p>
      <w:pPr>
        <w:spacing w:before="0" w:after="80" w:line="276" w:lineRule="auto"/>
      </w:pPr>
      <w:r>
        <w:rPr>
          <w:rFonts w:ascii="Arial" w:hAnsi="Arial"/>
          <w:color w:val="1E293B"/>
          <w:sz w:val="20"/>
        </w:rPr>
        <w:t>2. **民法典合同效力：**</w:t>
      </w:r>
    </w:p>
    <w:p>
      <w:pPr>
        <w:spacing w:before="0" w:after="80" w:line="276" w:lineRule="auto"/>
      </w:pPr>
      <w:r>
        <w:rPr>
          <w:rFonts w:ascii="Arial" w:hAnsi="Arial"/>
          <w:color w:val="1E293B"/>
          <w:sz w:val="20"/>
        </w:rPr>
        <w:t xml:space="preserve">   * 劳动合同必须符合**《印尼民法典》（KUHPerdata）第1320条**关于合同生效的法定要件，包括行为能力（*bekwaamheid*）以及合法的原因/目的（*geoorloofde oorzaak*）。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股东权利与雇员权利的严格区分 (Dual Capacity Rights)</w:t>
      </w:r>
    </w:p>
    <w:p>
      <w:pPr>
        <w:spacing w:before="0" w:after="80" w:line="276" w:lineRule="auto"/>
      </w:pPr>
      <w:r>
        <w:rPr>
          <w:rFonts w:ascii="Arial" w:hAnsi="Arial"/>
          <w:color w:val="1E293B"/>
          <w:sz w:val="20"/>
        </w:rPr>
        <w:t>兼具双重身份的个人，其享有的法定权利完全基于两套独立的法律轨制：</w:t>
      </w:r>
    </w:p>
    <w:p>
      <w:pPr>
        <w:spacing w:before="0" w:after="80" w:line="276" w:lineRule="auto"/>
      </w:pPr>
      <w:r>
        <w:rPr>
          <w:rFonts w:ascii="Arial" w:hAnsi="Arial"/>
          <w:b/>
          <w:color w:val="0F172A"/>
          <w:sz w:val="21"/>
        </w:rPr>
        <w:t>* **作为股东的权利（UU PT 第52条）：**</w:t>
      </w:r>
    </w:p>
    <w:p>
      <w:pPr>
        <w:spacing w:before="0" w:after="80" w:line="276" w:lineRule="auto"/>
      </w:pPr>
      <w:r>
        <w:rPr>
          <w:rFonts w:ascii="Arial" w:hAnsi="Arial"/>
          <w:b/>
          <w:color w:val="0F172A"/>
          <w:sz w:val="21"/>
        </w:rPr>
        <w:t xml:space="preserve">  * 出席股东大会（RUPS）并依法行使表决权；</w:t>
      </w:r>
    </w:p>
    <w:p>
      <w:pPr>
        <w:spacing w:before="0" w:after="80" w:line="276" w:lineRule="auto"/>
      </w:pPr>
      <w:r>
        <w:rPr>
          <w:rFonts w:ascii="Arial" w:hAnsi="Arial"/>
          <w:color w:val="1E293B"/>
          <w:sz w:val="20"/>
        </w:rPr>
        <w:t xml:space="preserve">  * 按持股比例分取公司股息红利及清算剩余财产；</w:t>
      </w:r>
    </w:p>
    <w:p>
      <w:pPr>
        <w:spacing w:before="0" w:after="80" w:line="276" w:lineRule="auto"/>
      </w:pPr>
      <w:r>
        <w:rPr>
          <w:rFonts w:ascii="Arial" w:hAnsi="Arial"/>
          <w:color w:val="1E293B"/>
          <w:sz w:val="20"/>
        </w:rPr>
        <w:t xml:space="preserve">  * 行使公司法赋予的股东知情权与提案权等资产所有权。</w:t>
      </w:r>
    </w:p>
    <w:p>
      <w:pPr>
        <w:spacing w:before="0" w:after="80" w:line="276" w:lineRule="auto"/>
      </w:pPr>
      <w:r>
        <w:rPr>
          <w:rFonts w:ascii="Arial" w:hAnsi="Arial"/>
          <w:color w:val="1E293B"/>
          <w:sz w:val="20"/>
        </w:rPr>
        <w:t>* **作为员工的权利（《劳动法》及2021年第35号、第36号政府条例）：**</w:t>
      </w:r>
    </w:p>
    <w:p>
      <w:pPr>
        <w:spacing w:before="0" w:after="80" w:line="276" w:lineRule="auto"/>
      </w:pPr>
      <w:r>
        <w:rPr>
          <w:rFonts w:ascii="Arial" w:hAnsi="Arial"/>
          <w:color w:val="1E293B"/>
          <w:sz w:val="20"/>
        </w:rPr>
        <w:t xml:space="preserve">  * 依法按月获得不低于法定最低标准的劳动报酬；</w:t>
      </w:r>
    </w:p>
    <w:p>
      <w:pPr>
        <w:spacing w:before="0" w:after="80" w:line="276" w:lineRule="auto"/>
      </w:pPr>
      <w:r>
        <w:rPr>
          <w:rFonts w:ascii="Arial" w:hAnsi="Arial"/>
          <w:color w:val="1E293B"/>
          <w:sz w:val="20"/>
        </w:rPr>
        <w:t xml:space="preserve">  * 强制参加印尼劳动社会保障（BPJS Ketenagakerjaan）与医疗保障（BPJS Kesehatan）；</w:t>
      </w:r>
    </w:p>
    <w:p>
      <w:pPr>
        <w:spacing w:before="0" w:after="80" w:line="276" w:lineRule="auto"/>
      </w:pPr>
      <w:r>
        <w:rPr>
          <w:rFonts w:ascii="Arial" w:hAnsi="Arial"/>
          <w:b/>
          <w:color w:val="0F172A"/>
          <w:sz w:val="21"/>
        </w:rPr>
        <w:t xml:space="preserve">  * 在劳动关系终止（PHK）时依法享有遣散费、服务补偿金或PKWT补偿金；</w:t>
      </w:r>
    </w:p>
    <w:p>
      <w:pPr>
        <w:spacing w:before="0" w:after="80" w:line="276" w:lineRule="auto"/>
      </w:pPr>
      <w:r>
        <w:rPr>
          <w:rFonts w:ascii="Arial" w:hAnsi="Arial"/>
          <w:color w:val="1E293B"/>
          <w:sz w:val="20"/>
        </w:rPr>
        <w:t xml:space="preserve">  * *注：* 股东投资层面的商业亏损或破产，不免除公司作为雇主支付员工未清偿工资的法定优先偿付权（依据《劳动法》第95条特权债权原则）。</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特殊法定情形：税务与外籍劳工（WNA）</w:t>
      </w:r>
    </w:p>
    <w:p>
      <w:pPr>
        <w:spacing w:before="0" w:after="80" w:line="276" w:lineRule="auto"/>
      </w:pPr>
      <w:r>
        <w:rPr>
          <w:rFonts w:ascii="Arial" w:hAnsi="Arial"/>
          <w:b/>
          <w:color w:val="0F172A"/>
          <w:sz w:val="21"/>
        </w:rPr>
        <w:t>1. **税务规制（《所得税法》及2021年第7号《税收法规协调法/HPP》）：**</w:t>
      </w:r>
    </w:p>
    <w:p>
      <w:pPr>
        <w:spacing w:before="0" w:after="80" w:line="276" w:lineRule="auto"/>
      </w:pPr>
      <w:r>
        <w:rPr>
          <w:rFonts w:ascii="Arial" w:hAnsi="Arial"/>
          <w:color w:val="1E293B"/>
          <w:sz w:val="20"/>
        </w:rPr>
        <w:t xml:space="preserve">   * 员工身份获取的薪酬属于工资薪金，须由公司代扣代缴**第21条个人所得税（PPh 21）**，且符合条件的可作为公司营运成本进行税前列支（*deductible*）；</w:t>
      </w:r>
    </w:p>
    <w:p>
      <w:pPr>
        <w:spacing w:before="0" w:after="80" w:line="276" w:lineRule="auto"/>
      </w:pPr>
      <w:r>
        <w:rPr>
          <w:rFonts w:ascii="Arial" w:hAnsi="Arial"/>
          <w:color w:val="1E293B"/>
          <w:sz w:val="20"/>
        </w:rPr>
        <w:t xml:space="preserve">   * 股东身份分得的股息适用股息税法规制（符合投资留存条件的，可依法免征或暂缓征收个人所得税）。</w:t>
      </w:r>
    </w:p>
    <w:p>
      <w:pPr>
        <w:spacing w:before="0" w:after="80" w:line="276" w:lineRule="auto"/>
      </w:pPr>
      <w:r>
        <w:rPr>
          <w:rFonts w:ascii="Arial" w:hAnsi="Arial"/>
          <w:b/>
          <w:color w:val="0F172A"/>
          <w:sz w:val="21"/>
        </w:rPr>
        <w:t>2. **若该股东为外籍人士（WNA）：**</w:t>
      </w:r>
    </w:p>
    <w:p>
      <w:pPr>
        <w:spacing w:before="0" w:after="80" w:line="276" w:lineRule="auto"/>
      </w:pPr>
      <w:r>
        <w:rPr>
          <w:rFonts w:ascii="Arial" w:hAnsi="Arial"/>
          <w:color w:val="1E293B"/>
          <w:sz w:val="20"/>
        </w:rPr>
        <w:t xml:space="preserve">   * 根据**2021年第34号政府条例《关于外籍劳工使用的规定》**：</w:t>
      </w:r>
    </w:p>
    <w:p>
      <w:pPr>
        <w:spacing w:before="0" w:after="80" w:line="276" w:lineRule="auto"/>
      </w:pPr>
      <w:r>
        <w:rPr>
          <w:rFonts w:ascii="Arial" w:hAnsi="Arial"/>
          <w:color w:val="1E293B"/>
          <w:sz w:val="20"/>
        </w:rPr>
        <w:t xml:space="preserve">     * 若外籍股东同时在公司兼任董事（Director）或监事（Commissioner），可依法享受豁免申请特定外籍员工聘用计划（RPTKA）的法定义务（第19条第1款b项）。</w:t>
      </w:r>
    </w:p>
    <w:p>
      <w:pPr>
        <w:spacing w:before="0" w:after="80" w:line="276" w:lineRule="auto"/>
      </w:pPr>
      <w:r>
        <w:rPr>
          <w:rFonts w:ascii="Arial" w:hAnsi="Arial"/>
          <w:color w:val="1E293B"/>
          <w:sz w:val="20"/>
        </w:rPr>
        <w:t xml:space="preserve">     * **但是**，若外籍股东仅仅是兼任**普通职级员工**（非董监高），公司**必须**严格履行外籍员工聘用程序，包括办理RPTKA审批、缴纳外劳补偿基金（DKPTKA）以及取得有效的工作类居留许可（ITAS Kerja）。未持合规工签任职构成非法用工与移民违法，将面临行政处罚乃至刑事驱逐。</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6. 实用合规指引 (Compliance Recommendations)</w:t>
      </w:r>
    </w:p>
    <w:p>
      <w:pPr>
        <w:spacing w:before="0" w:after="80" w:line="276" w:lineRule="auto"/>
      </w:pPr>
      <w:r>
        <w:rPr>
          <w:rFonts w:ascii="Arial" w:hAnsi="Arial"/>
          <w:color w:val="1E293B"/>
          <w:sz w:val="20"/>
        </w:rPr>
        <w:t>1. **合同与文书严格分离：** 必须单独起草正规的书面《劳动合同》，严禁将劳动权利义务仅记载于《公司章程》（Anggaran Dasar）或股权协议中。</w:t>
      </w:r>
    </w:p>
    <w:p>
      <w:pPr>
        <w:spacing w:before="0" w:after="80" w:line="276" w:lineRule="auto"/>
      </w:pPr>
      <w:r>
        <w:rPr>
          <w:rFonts w:ascii="Arial" w:hAnsi="Arial"/>
          <w:color w:val="1E293B"/>
          <w:sz w:val="20"/>
        </w:rPr>
        <w:t>2. **签署权限合规（避免自我交易）：** 劳动合同必须由代表公司的其他有权董事签署，严禁该个人代表公司（雇主）与自己（员工）在同一协议上签字（*Avoid Self-Dealing*）。</w:t>
      </w:r>
    </w:p>
    <w:p>
      <w:pPr>
        <w:spacing w:before="0" w:after="80" w:line="276" w:lineRule="auto"/>
      </w:pPr>
      <w:r>
        <w:rPr>
          <w:rFonts w:ascii="Arial" w:hAnsi="Arial"/>
          <w:color w:val="1E293B"/>
          <w:sz w:val="20"/>
        </w:rPr>
        <w:t>3. **独立薪酬与社保纳管：** 将其工资完全纳入公司正规薪酬体系（Payroll），出具工资单，依规申报个人所得税（PPh 21），并全额缴纳BPJS社保。</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