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"can a shareholder also be an employee"</w:t>
      </w:r>
    </w:p>
    <w:p>
      <w:pPr>
        <w:spacing w:before="0" w:after="360"/>
        <w:jc w:val="center"/>
      </w:pPr>
      <w:r>
        <w:rPr>
          <w:rFonts w:ascii="Arial" w:hAnsi="Arial"/>
          <w:color w:val="64748B"/>
          <w:sz w:val="17"/>
        </w:rPr>
        <w:t>CATEGORY: CORPORATE &amp; INVESTMENT | DUAL LANGUAGE: ID ↔ MANDARIN CHINESE (中文)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Kesimpulan Yuridis Utama</w:t>
      </w:r>
    </w:p>
    <w:p>
      <w:pPr>
        <w:spacing w:before="0" w:after="80" w:line="276" w:lineRule="auto"/>
      </w:pPr>
      <w:r>
        <w:rPr>
          <w:rFonts w:ascii="Arial" w:hAnsi="Arial"/>
          <w:color w:val="1E293B"/>
          <w:sz w:val="20"/>
        </w:rPr>
        <w:t xml:space="preserve">Secara hukum di Indonesia, **seorang pemegang saham (*shareholder*) dapat merangkap status sebagai pekerja/karyawan (*employee*)** pada Perseroan Terbatas (PT) yang sama. </w:t>
      </w:r>
    </w:p>
    <w:p>
      <w:pPr>
        <w:spacing w:before="0" w:after="80"/>
      </w:pPr>
    </w:p>
    <w:p>
      <w:pPr>
        <w:spacing w:before="0" w:after="80" w:line="276" w:lineRule="auto"/>
      </w:pPr>
      <w:r>
        <w:rPr>
          <w:rFonts w:ascii="Arial" w:hAnsi="Arial"/>
          <w:color w:val="1E293B"/>
          <w:sz w:val="20"/>
        </w:rPr>
        <w:t>Hukum korporasi dan hukum ketenagakerjaan Indonesia tidak melarang pemisahan peran ini karena perseroan terbatas merupakan badan hukum yang terpisah dari pemilik modalnya (*separate legal entity / legal person*). Namun, hubungan kerja tersebut harus memenuhi syarat sah perjanjian kerja dan unsur-unsur ketenagakerjaan secara materiil, bukan sekadar kepemilikan modal nominal.</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Kerangka Statuta dan Dasar Hukum</w:t>
      </w:r>
    </w:p>
    <w:p>
      <w:pPr>
        <w:spacing w:before="0" w:after="80"/>
      </w:pPr>
    </w:p>
    <w:p>
      <w:pPr>
        <w:spacing w:before="160" w:after="80" w:line="276" w:lineRule="auto"/>
      </w:pPr>
      <w:r>
        <w:rPr>
          <w:rFonts w:ascii="Arial" w:hAnsi="Arial"/>
          <w:b/>
          <w:color w:val="0F172A"/>
          <w:sz w:val="21"/>
        </w:rPr>
        <w:t>##### A. Doktrin Badan Hukum Mandiri (UU No. 40 Tahun 2007 tentang Perseroan Terbatas / UU PT)</w:t>
      </w:r>
    </w:p>
    <w:p>
      <w:pPr>
        <w:spacing w:before="0" w:after="80" w:line="276" w:lineRule="auto"/>
      </w:pPr>
      <w:r>
        <w:rPr>
          <w:rFonts w:ascii="Arial" w:hAnsi="Arial"/>
          <w:color w:val="1E293B"/>
          <w:sz w:val="20"/>
        </w:rPr>
        <w:t>*   **Pasal 3 ayat (1) UU PT:** Pemegang saham perseroan tidak bertanggung jawab secara pribadi atas perikatan yang dibuat atas nama perseroan dan tidak bertanggung jawab atas kerugian perseroan melebihi saham yang dimiliki.</w:t>
      </w:r>
    </w:p>
    <w:p>
      <w:pPr>
        <w:spacing w:before="0" w:after="80" w:line="276" w:lineRule="auto"/>
      </w:pPr>
      <w:r>
        <w:rPr>
          <w:rFonts w:ascii="Arial" w:hAnsi="Arial"/>
          <w:color w:val="1E293B"/>
          <w:sz w:val="20"/>
        </w:rPr>
        <w:t>*   **Implikasi:** PT merupakan subjek hukum mandiri (*persona standi in judicio*). Sebagai badan hukum, PT berhak membuat perikatan perdata, termasuk mengadakan perjanjian kerja (*employment agreement*) dengan siapa pun, termasuk dengan pemegang sahamnya sendiri.</w:t>
      </w:r>
    </w:p>
    <w:p>
      <w:pPr>
        <w:spacing w:before="0" w:after="80"/>
      </w:pPr>
    </w:p>
    <w:p>
      <w:pPr>
        <w:spacing w:before="160" w:after="80" w:line="276" w:lineRule="auto"/>
      </w:pPr>
      <w:r>
        <w:rPr>
          <w:rFonts w:ascii="Arial" w:hAnsi="Arial"/>
          <w:b/>
          <w:color w:val="0F172A"/>
          <w:sz w:val="21"/>
        </w:rPr>
        <w:t>##### B. Unsur Hubungan Kerja (UU No. 13 Tahun 2003 tentang Ketenagakerjaan sebagaimana diubah oleh UU No. 6 Tahun 2023 / UU Cipta Kerja)</w:t>
      </w:r>
    </w:p>
    <w:p>
      <w:pPr>
        <w:spacing w:before="0" w:after="80" w:line="276" w:lineRule="auto"/>
      </w:pPr>
      <w:r>
        <w:rPr>
          <w:rFonts w:ascii="Arial" w:hAnsi="Arial"/>
          <w:color w:val="1E293B"/>
          <w:sz w:val="20"/>
        </w:rPr>
        <w:t xml:space="preserve">*   **Pasal 1 angka 15 UU Ketenagakerjaan:** </w:t>
      </w:r>
    </w:p>
    <w:p>
      <w:pPr>
        <w:spacing w:before="0" w:after="80" w:line="276" w:lineRule="auto"/>
      </w:pPr>
      <w:r>
        <w:rPr>
          <w:rFonts w:ascii="Arial" w:hAnsi="Arial"/>
          <w:color w:val="1E293B"/>
          <w:sz w:val="20"/>
        </w:rPr>
        <w:t xml:space="preserve">    &gt; *"Hubungan kerja adalah hubungan antara pengusaha dengan pekerja/buruh berdasarkan perjanjian kerja, yang mempunyai unsur pekerjaan, upah, dan perintah."*</w:t>
      </w:r>
    </w:p>
    <w:p>
      <w:pPr>
        <w:spacing w:before="0" w:after="80" w:line="276" w:lineRule="auto"/>
      </w:pPr>
      <w:r>
        <w:rPr>
          <w:rFonts w:ascii="Arial" w:hAnsi="Arial"/>
          <w:color w:val="1E293B"/>
          <w:sz w:val="20"/>
        </w:rPr>
        <w:t>*   **Pasal 50 UU Ketenagakerjaan:** Hubungan kerja terjadi karena adanya perjanjian kerja antara pengusaha dan pekerja/buruh.</w:t>
      </w:r>
    </w:p>
    <w:p>
      <w:pPr>
        <w:spacing w:before="0" w:after="80" w:line="276" w:lineRule="auto"/>
      </w:pPr>
      <w:r>
        <w:rPr>
          <w:rFonts w:ascii="Arial" w:hAnsi="Arial"/>
          <w:color w:val="1E293B"/>
          <w:sz w:val="20"/>
        </w:rPr>
        <w:t>*   **Pasal 52 ayat (1) UU Ketenagakerjaan jo. Pasal 1320 Kitab Undang-Undang Hukum Perdata (KUHPerdata):** Perjanjian kerja dibuat atas dasar kesepakatan kedua belah pihak, kemampuan atau kecakapan melakukan perbuatan hukum, adanya pekerjaan yang diperjanjikan, dan pekerjaan tersebut tidak bertentangan dengan ketertiban umum, kesusilaan, dan peraturan perundang-undangan.</w:t>
      </w:r>
    </w:p>
    <w:p>
      <w:pPr>
        <w:spacing w:before="0" w:after="80"/>
      </w:pPr>
    </w:p>
    <w:p>
      <w:pPr>
        <w:spacing w:before="0" w:after="80" w:line="276" w:lineRule="auto"/>
      </w:pPr>
      <w:r>
        <w:rPr>
          <w:rFonts w:ascii="Arial" w:hAnsi="Arial"/>
          <w:color w:val="1E293B"/>
          <w:sz w:val="20"/>
        </w:rPr>
        <w:t>Agar status karyawan sah secara hukum, hubungan antara pemegang saham dan perseroan **wajib memenuhi tiga unsur mutlak**:</w:t>
      </w:r>
    </w:p>
    <w:p>
      <w:pPr>
        <w:spacing w:before="0" w:after="80" w:line="276" w:lineRule="auto"/>
      </w:pPr>
      <w:r>
        <w:rPr>
          <w:rFonts w:ascii="Arial" w:hAnsi="Arial"/>
          <w:color w:val="1E293B"/>
          <w:sz w:val="20"/>
        </w:rPr>
        <w:t>1.  **Pekerjaan (*work*):** Ada lingkup tugas, deskripsi kerja, dan tanggung jawab operasional yang nyata.</w:t>
      </w:r>
    </w:p>
    <w:p>
      <w:pPr>
        <w:spacing w:before="0" w:after="80" w:line="276" w:lineRule="auto"/>
      </w:pPr>
      <w:r>
        <w:rPr>
          <w:rFonts w:ascii="Arial" w:hAnsi="Arial"/>
          <w:color w:val="1E293B"/>
          <w:sz w:val="20"/>
        </w:rPr>
        <w:t>2.  **Upah (*wages*):** Menerima imbalan finansial periodik atas pekerjaan tersebut, terpisah dari dividen.</w:t>
      </w:r>
    </w:p>
    <w:p>
      <w:pPr>
        <w:spacing w:before="0" w:after="80" w:line="276" w:lineRule="auto"/>
      </w:pPr>
      <w:r>
        <w:rPr>
          <w:rFonts w:ascii="Arial" w:hAnsi="Arial"/>
          <w:color w:val="1E293B"/>
          <w:sz w:val="20"/>
        </w:rPr>
        <w:t>3.  **Perintah (*subordination/instruction*):** Adanya hubungan hierarkis di mana pemegang saham tunduk pada perintah, pengawasan, dan evaluasi dari Direksi (*Board of Directors*) perseroan.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Batasan dan Parameter Kritis</w:t>
      </w:r>
    </w:p>
    <w:p>
      <w:pPr>
        <w:spacing w:before="0" w:after="80"/>
      </w:pPr>
    </w:p>
    <w:p>
      <w:pPr>
        <w:spacing w:before="0" w:after="80" w:line="276" w:lineRule="auto"/>
      </w:pPr>
      <w:r>
        <w:rPr>
          <w:rFonts w:ascii="Arial" w:hAnsi="Arial"/>
          <w:color w:val="1E293B"/>
          <w:sz w:val="20"/>
        </w:rPr>
        <w:t>1.  **Unsur Subordinasi (*Hierarchical Subordination*):**</w:t>
      </w:r>
    </w:p>
    <w:p>
      <w:pPr>
        <w:spacing w:before="0" w:after="80" w:line="276" w:lineRule="auto"/>
      </w:pPr>
      <w:r>
        <w:rPr>
          <w:rFonts w:ascii="Arial" w:hAnsi="Arial"/>
          <w:color w:val="1E293B"/>
          <w:sz w:val="20"/>
        </w:rPr>
        <w:t xml:space="preserve">    *   Jika seorang pemegang saham adalah pemegang saham mayoritas mutlak (misalnya 99% atau *sole beneficial owner*) dan bertindak tanpa pengawasan, unsur "perintah" dapat dianggap gugur secara hukum (*lack of subordination*). Tanpa adanya unsur subordinasi, hubungan tersebut berisiko dikualifikasikan bukan sebagai hubungan kerja, melainkan hubungan kepemilikan modal atau kemitraan.</w:t>
      </w:r>
    </w:p>
    <w:p>
      <w:pPr>
        <w:spacing w:before="0" w:after="80" w:line="276" w:lineRule="auto"/>
      </w:pPr>
      <w:r>
        <w:rPr>
          <w:rFonts w:ascii="Arial" w:hAnsi="Arial"/>
          <w:color w:val="1E293B"/>
          <w:sz w:val="20"/>
        </w:rPr>
        <w:t>2.  **Pembedaan dengan Organ Perseroan (Direksi dan Dewan Komisaris):**</w:t>
      </w:r>
    </w:p>
    <w:p>
      <w:pPr>
        <w:spacing w:before="0" w:after="80" w:line="276" w:lineRule="auto"/>
      </w:pPr>
      <w:r>
        <w:rPr>
          <w:rFonts w:ascii="Arial" w:hAnsi="Arial"/>
          <w:color w:val="1E293B"/>
          <w:sz w:val="20"/>
        </w:rPr>
        <w:t xml:space="preserve">    *   Apabila pemegang saham juga menjabat sebagai **anggota Direksi**: Berdasarkan Yurisprudensi Mahkamah Agung (antara lain Putusan MA No. 345 K/Pdt.Sus-PHI/2018), hubungan antara Direktur dan Perseroan pada prinsipnya adalah hubungan hukum korporasi (*corporate relationship / mandat* berdasarkan Pasal 92 UU PT), bukan hubungan ketenagakerjaan subordinatif (*labor relationship*). Direksi diangkat dan diberhentikan oleh RUPS, sehingga hak-haknya diatur oleh UU PT dan anggaran dasar, bukan perlindungan pesangon UU Ketenagakerjaan.</w:t>
      </w:r>
    </w:p>
    <w:p>
      <w:pPr>
        <w:spacing w:before="0" w:after="80" w:line="276" w:lineRule="auto"/>
      </w:pPr>
      <w:r>
        <w:rPr>
          <w:rFonts w:ascii="Arial" w:hAnsi="Arial"/>
          <w:color w:val="1E293B"/>
          <w:sz w:val="20"/>
        </w:rPr>
        <w:t xml:space="preserve">    *   Apabila pemegang saham **bukan Direksi/Komisaris**, melainkan menduduki posisi staf/manajemen fungsional di bawah koordinasi Direksi: Hubungan tersebut murni merupakan hubungan ketenagakerjaan yang dilindungi penuh oleh UU Ketenagakerjaan.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Aspek Perpajakan dan Kepatuhan Jaminan Sosial</w:t>
      </w:r>
    </w:p>
    <w:p>
      <w:pPr>
        <w:spacing w:before="0" w:after="80"/>
      </w:pPr>
    </w:p>
    <w:p>
      <w:pPr>
        <w:spacing w:before="0" w:after="80" w:line="276" w:lineRule="auto"/>
      </w:pPr>
      <w:r>
        <w:rPr>
          <w:rFonts w:ascii="Arial" w:hAnsi="Arial"/>
          <w:color w:val="1E293B"/>
          <w:sz w:val="20"/>
        </w:rPr>
        <w:t>1.  **Pajak Penghasilan (PPh):**</w:t>
      </w:r>
    </w:p>
    <w:p>
      <w:pPr>
        <w:spacing w:before="0" w:after="80" w:line="276" w:lineRule="auto"/>
      </w:pPr>
      <w:r>
        <w:rPr>
          <w:rFonts w:ascii="Arial" w:hAnsi="Arial"/>
          <w:color w:val="1E293B"/>
          <w:sz w:val="20"/>
        </w:rPr>
        <w:t xml:space="preserve">    *   Penghasilan sebagai karyawan dikenakan pemotongan **PPh Pasal 21** atas upah/gaji rutin bulanan.</w:t>
      </w:r>
    </w:p>
    <w:p>
      <w:pPr>
        <w:spacing w:before="0" w:after="80" w:line="276" w:lineRule="auto"/>
      </w:pPr>
      <w:r>
        <w:rPr>
          <w:rFonts w:ascii="Arial" w:hAnsi="Arial"/>
          <w:color w:val="1E293B"/>
          <w:sz w:val="20"/>
        </w:rPr>
        <w:t xml:space="preserve">    *   Penghasilan sebagai pemilik modal dari pembagian laba dikenakan ketentuan **PPh atas Dividen** (dapat bersifat Final atau Non-Objek Pajak jika diinvestasikan kembali sesuai UU No. 7 Tahun 2021 tentang Harmonisasi Peraturan Perpajakan).</w:t>
      </w:r>
    </w:p>
    <w:p>
      <w:pPr>
        <w:spacing w:before="0" w:after="80" w:line="276" w:lineRule="auto"/>
      </w:pPr>
      <w:r>
        <w:rPr>
          <w:rFonts w:ascii="Arial" w:hAnsi="Arial"/>
          <w:color w:val="1E293B"/>
          <w:sz w:val="20"/>
        </w:rPr>
        <w:t xml:space="preserve">    *   Perseroan dilarang memanipulasi dividen sebagai gaji (atau sebaliknya) untuk penghindaran pajak (*tax evasion*).</w:t>
      </w:r>
    </w:p>
    <w:p>
      <w:pPr>
        <w:spacing w:before="0" w:after="80" w:line="276" w:lineRule="auto"/>
      </w:pPr>
      <w:r>
        <w:rPr>
          <w:rFonts w:ascii="Arial" w:hAnsi="Arial"/>
          <w:color w:val="1E293B"/>
          <w:sz w:val="20"/>
        </w:rPr>
        <w:t>2.  **BPJS Ketenagakerjaan &amp; BPJS Kesehatan (UU No. 24 Tahun 2011):**</w:t>
      </w:r>
    </w:p>
    <w:p>
      <w:pPr>
        <w:spacing w:before="0" w:after="80" w:line="276" w:lineRule="auto"/>
      </w:pPr>
      <w:r>
        <w:rPr>
          <w:rFonts w:ascii="Arial" w:hAnsi="Arial"/>
          <w:color w:val="1E293B"/>
          <w:sz w:val="20"/>
        </w:rPr>
        <w:t xml:space="preserve">    *   Sebagai karyawan yang menerima upah, pemegang saham yang merangkap karyawan wajib didaftarkan oleh perseroan ke dalam program jaminan sosial ketenagakerjaan (JKK, JKM, JHT, JP) dan jaminan kesehatan.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Panduan Kepatuhan Praktis (*Actionable Compliance Guidance*)</w:t>
      </w:r>
    </w:p>
    <w:p>
      <w:pPr>
        <w:spacing w:before="0" w:after="80"/>
      </w:pPr>
    </w:p>
    <w:p>
      <w:pPr>
        <w:spacing w:before="0" w:after="80" w:line="276" w:lineRule="auto"/>
      </w:pPr>
      <w:r>
        <w:rPr>
          <w:rFonts w:ascii="Arial" w:hAnsi="Arial"/>
          <w:color w:val="1E293B"/>
          <w:sz w:val="20"/>
        </w:rPr>
        <w:t>1.  **Pemisahan Dokumen yang Jelas:** Buat Perjanjian Kerja (PKWT/PKWTT) tertulis yang memuat hak, kewajiban, dan pelaporan hierarkis ke Direksi operasional.</w:t>
      </w:r>
    </w:p>
    <w:p>
      <w:pPr>
        <w:spacing w:before="0" w:after="80" w:line="276" w:lineRule="auto"/>
      </w:pPr>
      <w:r>
        <w:rPr>
          <w:rFonts w:ascii="Arial" w:hAnsi="Arial"/>
          <w:color w:val="1E293B"/>
          <w:sz w:val="20"/>
        </w:rPr>
        <w:t>2.  **Rekening dan Pencatatan Finansial Terpisah:** Pembayaran gaji harus dilakukan melalui sistem *payroll* resmi dan dipisahkan secara tegas dari pembagian dividen hasil RUPS.</w:t>
      </w:r>
    </w:p>
    <w:p>
      <w:pPr>
        <w:spacing w:before="0" w:after="80" w:line="276" w:lineRule="auto"/>
      </w:pPr>
      <w:r>
        <w:rPr>
          <w:rFonts w:ascii="Arial" w:hAnsi="Arial"/>
          <w:color w:val="1E293B"/>
          <w:sz w:val="20"/>
        </w:rPr>
        <w:t>3.  **Manajemen Benturan Kepentingan:** Pastikan peran karyawan tidak mencampuri fungsi pengawasan RUPS atau mereduksi otoritas pengelolaan mandiri oleh Direksi sebagaimana diatur dalam Pasal 92 UU PT.</w:t>
      </w:r>
    </w:p>
    <w:p>
      <w:pPr>
        <w:spacing w:before="280" w:after="120"/>
      </w:pPr>
      <w:r>
        <w:rPr>
          <w:rFonts w:ascii="Arial" w:hAnsi="Arial"/>
          <w:b/>
          <w:color w:val="B45309"/>
          <w:sz w:val="24"/>
        </w:rPr>
        <w:t>2. Parallel Statutory Analysis &amp; Translation (Mandarin Chinese (中文))</w:t>
      </w:r>
    </w:p>
    <w:p>
      <w:pPr>
        <w:spacing w:before="160" w:after="80" w:line="276" w:lineRule="auto"/>
      </w:pPr>
      <w:r>
        <w:rPr>
          <w:rFonts w:ascii="Arial" w:hAnsi="Arial"/>
          <w:b/>
          <w:color w:val="0F172A"/>
          <w:sz w:val="21"/>
        </w:rPr>
        <w:t>LEGAL ANALYSIS &amp; STATUTORY PROVISIONS (MANDARIN CHINESE (中文))</w:t>
      </w:r>
    </w:p>
    <w:p>
      <w:pPr>
        <w:spacing w:before="0" w:after="80"/>
      </w:pPr>
    </w:p>
    <w:p>
      <w:pPr>
        <w:spacing w:before="160" w:after="80" w:line="276" w:lineRule="auto"/>
      </w:pPr>
      <w:r>
        <w:rPr>
          <w:rFonts w:ascii="Arial" w:hAnsi="Arial"/>
          <w:b/>
          <w:color w:val="0F172A"/>
          <w:sz w:val="21"/>
        </w:rPr>
        <w:t>#### 1. 核心法律结论</w:t>
      </w:r>
    </w:p>
    <w:p>
      <w:pPr>
        <w:spacing w:before="0" w:after="80" w:line="276" w:lineRule="auto"/>
      </w:pPr>
      <w:r>
        <w:rPr>
          <w:rFonts w:ascii="Arial" w:hAnsi="Arial"/>
          <w:color w:val="1E293B"/>
          <w:sz w:val="20"/>
        </w:rPr>
        <w:t>根据印度尼西亚现行法律，**有限责任公司的股东（Shareholder / Pemegang Saham）完全可以兼任该同一公司的雇员/员工（Employee / Karyawan）**。</w:t>
      </w:r>
    </w:p>
    <w:p>
      <w:pPr>
        <w:spacing w:before="0" w:after="80"/>
      </w:pPr>
    </w:p>
    <w:p>
      <w:pPr>
        <w:spacing w:before="0" w:after="80" w:line="276" w:lineRule="auto"/>
      </w:pPr>
      <w:r>
        <w:rPr>
          <w:rFonts w:ascii="Arial" w:hAnsi="Arial"/>
          <w:color w:val="1E293B"/>
          <w:sz w:val="20"/>
        </w:rPr>
        <w:t>印尼公司法与劳动法并不禁止这种双重身份的重叠，因为有限责任公司在法律上独立于其出资人（具有独立的法人资格，即 *Separate Legal Entity*）。然而，该雇佣关系必须符合劳动合同的法定有效要件，并在实质上具备劳动关系的构成要素，而不能仅仅依附于名义上的股权所有权。</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法定依据与法律框架</w:t>
      </w:r>
    </w:p>
    <w:p>
      <w:pPr>
        <w:spacing w:before="0" w:after="80"/>
      </w:pPr>
    </w:p>
    <w:p>
      <w:pPr>
        <w:spacing w:before="160" w:after="80" w:line="276" w:lineRule="auto"/>
      </w:pPr>
      <w:r>
        <w:rPr>
          <w:rFonts w:ascii="Arial" w:hAnsi="Arial"/>
          <w:b/>
          <w:color w:val="0F172A"/>
          <w:sz w:val="21"/>
        </w:rPr>
        <w:t>##### A. 法人独立人格原则（印尼2007年第40号《有限责任公司法》，简称《公司法》/ UU PT）</w:t>
      </w:r>
    </w:p>
    <w:p>
      <w:pPr>
        <w:spacing w:before="0" w:after="80" w:line="276" w:lineRule="auto"/>
      </w:pPr>
      <w:r>
        <w:rPr>
          <w:rFonts w:ascii="Arial" w:hAnsi="Arial"/>
          <w:color w:val="1E293B"/>
          <w:sz w:val="20"/>
        </w:rPr>
        <w:t>*   **第3条第(1)款：** 公司股东不对公司名义所作出的承诺承担个人责任，且对公司损失的责任仅以其认缴的股份财产为限。</w:t>
      </w:r>
    </w:p>
    <w:p>
      <w:pPr>
        <w:spacing w:before="0" w:after="80" w:line="276" w:lineRule="auto"/>
      </w:pPr>
      <w:r>
        <w:rPr>
          <w:rFonts w:ascii="Arial" w:hAnsi="Arial"/>
          <w:color w:val="1E293B"/>
          <w:sz w:val="20"/>
        </w:rPr>
        <w:t>*   **法律含义：** 印尼公司是独立的民事法律主体（*persona standi in judicio*）。作为独立法人，公司有权对外订立民事合同，包括与包括其自身股东在内的任何人订立劳动合同（*Perjanjian Kerja*）。</w:t>
      </w:r>
    </w:p>
    <w:p>
      <w:pPr>
        <w:spacing w:before="0" w:after="80"/>
      </w:pPr>
    </w:p>
    <w:p>
      <w:pPr>
        <w:spacing w:before="160" w:after="80" w:line="276" w:lineRule="auto"/>
      </w:pPr>
      <w:r>
        <w:rPr>
          <w:rFonts w:ascii="Arial" w:hAnsi="Arial"/>
          <w:b/>
          <w:color w:val="0F172A"/>
          <w:sz w:val="21"/>
        </w:rPr>
        <w:t>##### B. 劳动关系的构成要素（2003年第13号《劳动法》，经2023年第6号《创造就业法》修正）</w:t>
      </w:r>
    </w:p>
    <w:p>
      <w:pPr>
        <w:spacing w:before="0" w:after="80" w:line="276" w:lineRule="auto"/>
      </w:pPr>
      <w:r>
        <w:rPr>
          <w:rFonts w:ascii="Arial" w:hAnsi="Arial"/>
          <w:color w:val="1E293B"/>
          <w:sz w:val="20"/>
        </w:rPr>
        <w:t xml:space="preserve">*   **第1条第15款：** </w:t>
      </w:r>
    </w:p>
    <w:p>
      <w:pPr>
        <w:spacing w:before="0" w:after="80" w:line="276" w:lineRule="auto"/>
      </w:pPr>
      <w:r>
        <w:rPr>
          <w:rFonts w:ascii="Arial" w:hAnsi="Arial"/>
          <w:color w:val="1E293B"/>
          <w:sz w:val="20"/>
        </w:rPr>
        <w:t xml:space="preserve">    &gt; *“劳动关系是指雇主与劳动者/雇员之间基于劳动合同建立的关系，该关系包含劳动（工作内容）、工资（报酬）以及指令（从属管理）三大要素。”*</w:t>
      </w:r>
    </w:p>
    <w:p>
      <w:pPr>
        <w:spacing w:before="0" w:after="80" w:line="276" w:lineRule="auto"/>
      </w:pPr>
      <w:r>
        <w:rPr>
          <w:rFonts w:ascii="Arial" w:hAnsi="Arial"/>
          <w:color w:val="1E293B"/>
          <w:sz w:val="20"/>
        </w:rPr>
        <w:t>*   **第50条：** 劳动关系因雇主与劳动者之间订立劳动合同而确立。</w:t>
      </w:r>
    </w:p>
    <w:p>
      <w:pPr>
        <w:spacing w:before="0" w:after="80" w:line="276" w:lineRule="auto"/>
      </w:pPr>
      <w:r>
        <w:rPr>
          <w:rFonts w:ascii="Arial" w:hAnsi="Arial"/>
          <w:color w:val="1E293B"/>
          <w:sz w:val="20"/>
        </w:rPr>
        <w:t>*   **第52条第(1)款结合《印尼民法典》（KUHPerdata）第1320条：** 劳动合同的订立必须基于双方合意、具备民事行为能力、存在明确约定的工作标的，且该工作不得违反公共秩序、社会公德和现行强制性法律法规。</w:t>
      </w:r>
    </w:p>
    <w:p>
      <w:pPr>
        <w:spacing w:before="0" w:after="80"/>
      </w:pPr>
    </w:p>
    <w:p>
      <w:pPr>
        <w:spacing w:before="0" w:after="80" w:line="276" w:lineRule="auto"/>
      </w:pPr>
      <w:r>
        <w:rPr>
          <w:rFonts w:ascii="Arial" w:hAnsi="Arial"/>
          <w:color w:val="1E293B"/>
          <w:sz w:val="20"/>
        </w:rPr>
        <w:t>股东兼任雇员要获得法律认可，双方之间**必须实质性满足以下三项绝对要件**：</w:t>
      </w:r>
    </w:p>
    <w:p>
      <w:pPr>
        <w:spacing w:before="0" w:after="80" w:line="276" w:lineRule="auto"/>
      </w:pPr>
      <w:r>
        <w:rPr>
          <w:rFonts w:ascii="Arial" w:hAnsi="Arial"/>
          <w:color w:val="1E293B"/>
          <w:sz w:val="20"/>
        </w:rPr>
        <w:t>1.  **工作要素（Pekerjaan / Work）：** 存在明确、真实的岗位职责、工作描述与日常运营工作。</w:t>
      </w:r>
    </w:p>
    <w:p>
      <w:pPr>
        <w:spacing w:before="0" w:after="80" w:line="276" w:lineRule="auto"/>
      </w:pPr>
      <w:r>
        <w:rPr>
          <w:rFonts w:ascii="Arial" w:hAnsi="Arial"/>
          <w:color w:val="1E293B"/>
          <w:sz w:val="20"/>
        </w:rPr>
        <w:t>2.  **报酬/工资要素（Upah / Wages）：** 因提供劳务而定期获取薪酬报酬，且该报酬必须完全独立于股息分红。</w:t>
      </w:r>
    </w:p>
    <w:p>
      <w:pPr>
        <w:spacing w:before="0" w:after="80" w:line="276" w:lineRule="auto"/>
      </w:pPr>
      <w:r>
        <w:rPr>
          <w:rFonts w:ascii="Arial" w:hAnsi="Arial"/>
          <w:color w:val="1E293B"/>
          <w:sz w:val="20"/>
        </w:rPr>
        <w:t>3.  **从属性/工作指令要素（Perintah / Subordination）：** 存在明确的纵向科层隶属关系，即该股东作为雇员必须接受公司董事会（*Board of Directors / Direksi*）的管理、指令、考核与监督。</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关键法律界限与限制条件</w:t>
      </w:r>
    </w:p>
    <w:p>
      <w:pPr>
        <w:spacing w:before="0" w:after="80"/>
      </w:pPr>
    </w:p>
    <w:p>
      <w:pPr>
        <w:spacing w:before="0" w:after="80" w:line="276" w:lineRule="auto"/>
      </w:pPr>
      <w:r>
        <w:rPr>
          <w:rFonts w:ascii="Arial" w:hAnsi="Arial"/>
          <w:color w:val="1E293B"/>
          <w:sz w:val="20"/>
        </w:rPr>
        <w:t>1.  **人身从属性问题（Hierarchical Subordination）：**</w:t>
      </w:r>
    </w:p>
    <w:p>
      <w:pPr>
        <w:spacing w:before="0" w:after="80" w:line="276" w:lineRule="auto"/>
      </w:pPr>
      <w:r>
        <w:rPr>
          <w:rFonts w:ascii="Arial" w:hAnsi="Arial"/>
          <w:color w:val="1E293B"/>
          <w:sz w:val="20"/>
        </w:rPr>
        <w:t xml:space="preserve">    *   若某股东持有压倒性的绝对控股权（例如持股99%或为绝对单一实控人），且在日常工作中不接受任何实质监督或指令，法律上可能认定其缺乏“受指令管辖”（从属性）要素。丧失从属性的“雇佣关系”在发生争议时，极易被印尼劳动法院或税务局认定为纯粹的股东资本行为或合伙关系，而非劳动法保护的雇佣关系。</w:t>
      </w:r>
    </w:p>
    <w:p>
      <w:pPr>
        <w:spacing w:before="0" w:after="80" w:line="276" w:lineRule="auto"/>
      </w:pPr>
      <w:r>
        <w:rPr>
          <w:rFonts w:ascii="Arial" w:hAnsi="Arial"/>
          <w:color w:val="1E293B"/>
          <w:sz w:val="20"/>
        </w:rPr>
        <w:t>2.  **与法定公司机关（董事会与监事会）的界限划分：**</w:t>
      </w:r>
    </w:p>
    <w:p>
      <w:pPr>
        <w:spacing w:before="0" w:after="80" w:line="276" w:lineRule="auto"/>
      </w:pPr>
      <w:r>
        <w:rPr>
          <w:rFonts w:ascii="Arial" w:hAnsi="Arial"/>
          <w:color w:val="1E293B"/>
          <w:sz w:val="20"/>
        </w:rPr>
        <w:t xml:space="preserve">    *   若股东兼任**董事（Direktur）**：根据印尼最高法院判例（包括最高法院第345 K/Pdt.Sus-PHI/2018号判决等），董事与公司之间的关系属于《公司法》第92条项下的法定委任与公司法治理关系（*Corporate Mandate*），原则上不属于劳动法意义上的从属劳动关系。董事的聘任与解任由股东大会（RUPS）决定，受《公司法》和公司章程规制，通常不享受《劳动法》规定的解雇经济补偿金/遣散费保障。</w:t>
      </w:r>
    </w:p>
    <w:p>
      <w:pPr>
        <w:spacing w:before="0" w:after="80" w:line="276" w:lineRule="auto"/>
      </w:pPr>
      <w:r>
        <w:rPr>
          <w:rFonts w:ascii="Arial" w:hAnsi="Arial"/>
          <w:color w:val="1E293B"/>
          <w:sz w:val="20"/>
        </w:rPr>
        <w:t xml:space="preserve">    *   若股东**未担任董事或监事**，仅担任董事会下辖的职能部门员工或管理人员（如经理、专业技术人员）：该关系属于纯粹的劳动关系，完全受印尼劳动法律法规的保护与约束。</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税务处理与法定社保合规</w:t>
      </w:r>
    </w:p>
    <w:p>
      <w:pPr>
        <w:spacing w:before="0" w:after="80"/>
      </w:pPr>
    </w:p>
    <w:p>
      <w:pPr>
        <w:spacing w:before="0" w:after="80" w:line="276" w:lineRule="auto"/>
      </w:pPr>
      <w:r>
        <w:rPr>
          <w:rFonts w:ascii="Arial" w:hAnsi="Arial"/>
          <w:color w:val="1E293B"/>
          <w:sz w:val="20"/>
        </w:rPr>
        <w:t>1.  **个人所得税（PPh）：**</w:t>
      </w:r>
    </w:p>
    <w:p>
      <w:pPr>
        <w:spacing w:before="0" w:after="80" w:line="276" w:lineRule="auto"/>
      </w:pPr>
      <w:r>
        <w:rPr>
          <w:rFonts w:ascii="Arial" w:hAnsi="Arial"/>
          <w:color w:val="1E293B"/>
          <w:sz w:val="20"/>
        </w:rPr>
        <w:t xml:space="preserve">    *   作为员工获取的常规月薪，属于工资薪金所得，公司必须代扣代缴**印尼个人所得税第21条（PPh Pasal 21）**。</w:t>
      </w:r>
    </w:p>
    <w:p>
      <w:pPr>
        <w:spacing w:before="0" w:after="80" w:line="276" w:lineRule="auto"/>
      </w:pPr>
      <w:r>
        <w:rPr>
          <w:rFonts w:ascii="Arial" w:hAnsi="Arial"/>
          <w:color w:val="1E293B"/>
          <w:sz w:val="20"/>
        </w:rPr>
        <w:t xml:space="preserve">    *   作为股东获取的公司税后利润分红，依照**股息所得税（PPh atas Dividen）**的相关规定处理（根据印尼2021年第7号《税收法规统一法》，符合条件的境内再投资可享受免税待遇）。</w:t>
      </w:r>
    </w:p>
    <w:p>
      <w:pPr>
        <w:spacing w:before="0" w:after="80" w:line="276" w:lineRule="auto"/>
      </w:pPr>
      <w:r>
        <w:rPr>
          <w:rFonts w:ascii="Arial" w:hAnsi="Arial"/>
          <w:color w:val="1E293B"/>
          <w:sz w:val="20"/>
        </w:rPr>
        <w:t xml:space="preserve">    *   严禁将股息伪装为工资发放以稀释公司利润，或将应付薪资列为股息以逃避社保与税负（避免构成税务违规）。</w:t>
      </w:r>
    </w:p>
    <w:p>
      <w:pPr>
        <w:spacing w:before="0" w:after="80" w:line="276" w:lineRule="auto"/>
      </w:pPr>
      <w:r>
        <w:rPr>
          <w:rFonts w:ascii="Arial" w:hAnsi="Arial"/>
          <w:color w:val="1E293B"/>
          <w:sz w:val="20"/>
        </w:rPr>
        <w:t>2.  **印尼法定社会保险（BPJS Ketenagakerjaan &amp; BPJS Kesehatan，2011年第24号法律）：**</w:t>
      </w:r>
    </w:p>
    <w:p>
      <w:pPr>
        <w:spacing w:before="0" w:after="80" w:line="276" w:lineRule="auto"/>
      </w:pPr>
      <w:r>
        <w:rPr>
          <w:rFonts w:ascii="Arial" w:hAnsi="Arial"/>
          <w:color w:val="1E293B"/>
          <w:sz w:val="20"/>
        </w:rPr>
        <w:t xml:space="preserve">    *   凡兼任雇员并领取工资的股东，公司均负有法定法定义务，必须将其纳入印尼工人社会保障计划（工伤、身故、养老、养老金计划）及国民健康保障体系。</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实用合规操作指引（Actionable Compliance Guidance）</w:t>
      </w:r>
    </w:p>
    <w:p>
      <w:pPr>
        <w:spacing w:before="0" w:after="80"/>
      </w:pPr>
    </w:p>
    <w:p>
      <w:pPr>
        <w:spacing w:before="0" w:after="80" w:line="276" w:lineRule="auto"/>
      </w:pPr>
      <w:r>
        <w:rPr>
          <w:rFonts w:ascii="Arial" w:hAnsi="Arial"/>
          <w:color w:val="1E293B"/>
          <w:sz w:val="20"/>
        </w:rPr>
        <w:t>1.  **签署完备的独立劳动合同：** 必须订立正式的书面固定期限（PKWT）或无固定期限（PKWTT）劳动合同，详细界定岗位职责、KPI及向具体业务董事汇报的路径。</w:t>
      </w:r>
    </w:p>
    <w:p>
      <w:pPr>
        <w:spacing w:before="0" w:after="80" w:line="276" w:lineRule="auto"/>
      </w:pPr>
      <w:r>
        <w:rPr>
          <w:rFonts w:ascii="Arial" w:hAnsi="Arial"/>
          <w:color w:val="1E293B"/>
          <w:sz w:val="20"/>
        </w:rPr>
        <w:t>2.  **财务与薪酬系统严格隔离：** 员工工资必须纳入公司正规的薪资代发系统（Payroll）发放并留存薪资单（Slip Gaji），严禁与股东大会（RUPS）批准的股息分配混合记账。</w:t>
      </w:r>
    </w:p>
    <w:p>
      <w:pPr>
        <w:spacing w:before="0" w:after="80" w:line="276" w:lineRule="auto"/>
      </w:pPr>
      <w:r>
        <w:rPr>
          <w:rFonts w:ascii="Arial" w:hAnsi="Arial"/>
          <w:color w:val="1E293B"/>
          <w:sz w:val="20"/>
        </w:rPr>
        <w:t>3.  **利益冲突防范：** 确保该雇员角色的日常履职不干预股东大会的外部监督权，亦不侵犯《公司法》第92条赋予董事会排他性的日常经营管理权。</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