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"can a shareholder also be an employee"</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**1. Kesimpulan Hukum Utama**</w:t>
      </w:r>
    </w:p>
    <w:p>
      <w:pPr>
        <w:spacing w:before="0" w:after="80" w:line="276" w:lineRule="auto"/>
      </w:pPr>
      <w:r>
        <w:rPr>
          <w:rFonts w:ascii="Arial" w:hAnsi="Arial"/>
          <w:color w:val="1E293B"/>
          <w:sz w:val="20"/>
        </w:rPr>
        <w:t>Secara hukum, seorang pemegang saham (*shareholder*) **dapat merangkap sebagai pekerja/karyawan (*employee*)** pada Perseroan Terbatas (PT) yang sama. Hukum positif Indonesia, baik Undang-Undang Nomor 40 Tahun 2007 tentang Perseroan Terbatas sebagaimana telah diubah oleh Undang-Undang Nomor 6 Tahun 2023 tentang Penetapan Perppu No. 2/2022 tentang Cipta Kerja Menjadi Undang-Undang ("UU PT") maupun Undang-Undang Nomor 13 Tahun 2003 tentang Ketenagakerjaan sebagaimana diubah oleh UU No. 6/2023 ("UU Ketenagakerjaan"), tidak memuat larangan eksplisit bagi pemegang saham untuk mengikatkan diri dalam hubungan kerja dengan perseroan.</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**2. Landasan Statuter &amp; Pemisahan Kapasitas Hukum (*Dual Capacity*)**</w:t>
      </w:r>
    </w:p>
    <w:p>
      <w:pPr>
        <w:spacing w:before="0" w:after="80"/>
      </w:pPr>
    </w:p>
    <w:p>
      <w:pPr>
        <w:spacing w:before="0" w:after="80" w:line="276" w:lineRule="auto"/>
      </w:pPr>
      <w:r>
        <w:rPr>
          <w:rFonts w:ascii="Arial" w:hAnsi="Arial"/>
          <w:color w:val="1E293B"/>
          <w:sz w:val="20"/>
        </w:rPr>
        <w:t>*   **Kapasitas Pemegang Saham (Hukum Perusahaan):**</w:t>
      </w:r>
    </w:p>
    <w:p>
      <w:pPr>
        <w:spacing w:before="0" w:after="80" w:line="276" w:lineRule="auto"/>
      </w:pPr>
      <w:r>
        <w:rPr>
          <w:rFonts w:ascii="Arial" w:hAnsi="Arial"/>
          <w:color w:val="1E293B"/>
          <w:sz w:val="20"/>
        </w:rPr>
        <w:t xml:space="preserve">    *   **Pasal 3 ayat (1) UU PT:** Pemegang saham perseroan tidak bertanggung jawab secara pribadi atas perikatan yang dibuat atas nama perseroan dan tidak bertanggung jawab atas kerugian perseroan melebihi saham yang dimiliki (*limited liability*).</w:t>
      </w:r>
    </w:p>
    <w:p>
      <w:pPr>
        <w:spacing w:before="0" w:after="80" w:line="276" w:lineRule="auto"/>
      </w:pPr>
      <w:r>
        <w:rPr>
          <w:rFonts w:ascii="Arial" w:hAnsi="Arial"/>
          <w:color w:val="1E293B"/>
          <w:sz w:val="20"/>
        </w:rPr>
        <w:t xml:space="preserve">    *   **Pasal 52 ayat (1) UU PT:** Saham memberikan hak kepada pemiliknya untuk menghadiri dan mengeluarkan suara dalam RUPS, menerima pembayaran dividen dan sisa kekayaan hasil likuidasi, serta menjalankan hak lainnya berdasarkan UU PT.</w:t>
      </w:r>
    </w:p>
    <w:p>
      <w:pPr>
        <w:spacing w:before="0" w:after="80" w:line="276" w:lineRule="auto"/>
      </w:pPr>
      <w:r>
        <w:rPr>
          <w:rFonts w:ascii="Arial" w:hAnsi="Arial"/>
          <w:color w:val="1E293B"/>
          <w:sz w:val="20"/>
        </w:rPr>
        <w:t xml:space="preserve">    *   Kepemilikan saham merupakan hubungan kepemilikan modal (*equity/ownership relationship*) yang terpisah dari status personal individu tersebut.</w:t>
      </w:r>
    </w:p>
    <w:p>
      <w:pPr>
        <w:spacing w:before="0" w:after="80"/>
      </w:pPr>
    </w:p>
    <w:p>
      <w:pPr>
        <w:spacing w:before="0" w:after="80" w:line="276" w:lineRule="auto"/>
      </w:pPr>
      <w:r>
        <w:rPr>
          <w:rFonts w:ascii="Arial" w:hAnsi="Arial"/>
          <w:color w:val="1E293B"/>
          <w:sz w:val="20"/>
        </w:rPr>
        <w:t>*   **Kapasitas Pekerja/Karyawan (Hukum Ketenagakerjaan):**</w:t>
      </w:r>
    </w:p>
    <w:p>
      <w:pPr>
        <w:spacing w:before="0" w:after="80" w:line="276" w:lineRule="auto"/>
      </w:pPr>
      <w:r>
        <w:rPr>
          <w:rFonts w:ascii="Arial" w:hAnsi="Arial"/>
          <w:color w:val="1E293B"/>
          <w:sz w:val="20"/>
        </w:rPr>
        <w:t xml:space="preserve">    *   **Pasal 1 angka 15 UU Ketenagakerjaan:** </w:t>
      </w:r>
    </w:p>
    <w:p>
      <w:pPr>
        <w:spacing w:before="0" w:after="80" w:line="276" w:lineRule="auto"/>
      </w:pPr>
      <w:r>
        <w:rPr>
          <w:rFonts w:ascii="Arial" w:hAnsi="Arial"/>
          <w:color w:val="1E293B"/>
          <w:sz w:val="20"/>
        </w:rPr>
        <w:t xml:space="preserve">        &gt; *"Hubungan kerja adalah hubungan antara pengusaha dengan pekerja/buruh berdasarkan perjanjian kerja, yang mempunyai unsur pekerjaan, upah, dan perintah."*</w:t>
      </w:r>
    </w:p>
    <w:p>
      <w:pPr>
        <w:spacing w:before="0" w:after="80" w:line="276" w:lineRule="auto"/>
      </w:pPr>
      <w:r>
        <w:rPr>
          <w:rFonts w:ascii="Arial" w:hAnsi="Arial"/>
          <w:color w:val="1E293B"/>
          <w:sz w:val="20"/>
        </w:rPr>
        <w:t xml:space="preserve">    *   **Pasal 50 UU Ketenagakerjaan:** Hubungan kerja terjadi karena adanya perjanjian kerja antara pengusaha dan pekerja/buruh.</w:t>
      </w:r>
    </w:p>
    <w:p>
      <w:pPr>
        <w:spacing w:before="0" w:after="80" w:line="276" w:lineRule="auto"/>
      </w:pPr>
      <w:r>
        <w:rPr>
          <w:rFonts w:ascii="Arial" w:hAnsi="Arial"/>
          <w:color w:val="1E293B"/>
          <w:sz w:val="20"/>
        </w:rPr>
        <w:t xml:space="preserve">    *   **Pasal 52 ayat (1) UU Ketenagakerjaan jo. Pasal 1320 Kitab Undang-Undang Hukum Perdata (KUHPerdata):** Perjanjian kerja dibuat atas dasar kesepakatan kedua belah pihak, kemampuan atau kecakapan melakukan perbuatan hukum, adanya pekerjaan yang diperjanjikan, dan pekerjaan tersebut tidak bertentangan dengan ketertiban umum, kesusilaan, dan peraturan perundang-undangan.</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**3. Syarat Yuridis Keabsahan Hubungan Kerja Pemegang Saham**</w:t>
      </w:r>
    </w:p>
    <w:p>
      <w:pPr>
        <w:spacing w:before="0" w:after="80"/>
      </w:pPr>
    </w:p>
    <w:p>
      <w:pPr>
        <w:spacing w:before="0" w:after="80" w:line="276" w:lineRule="auto"/>
      </w:pPr>
      <w:r>
        <w:rPr>
          <w:rFonts w:ascii="Arial" w:hAnsi="Arial"/>
          <w:color w:val="1E293B"/>
          <w:sz w:val="20"/>
        </w:rPr>
        <w:t>Agar hubungan kerja antara pemegang saham dan perseroan sah secara hukum, 3 (tiga) unsur kumulatif dalam **Pasal 1 angka 15 UU Ketenagakerjaan** harus terpenuhi secara nyata (*substance over form*):</w:t>
      </w:r>
    </w:p>
    <w:p>
      <w:pPr>
        <w:spacing w:before="0" w:after="80" w:line="276" w:lineRule="auto"/>
      </w:pPr>
      <w:r>
        <w:rPr>
          <w:rFonts w:ascii="Arial" w:hAnsi="Arial"/>
          <w:color w:val="1E293B"/>
          <w:sz w:val="20"/>
        </w:rPr>
        <w:t>1.  **Adanya Pekerjaan (*Work*):** Terdapat tugas, tanggung jawab, dan uraian jabatan operasional yang jelas yang dilakukan secara mandiri dari hak kepemilikan sahamnya.</w:t>
      </w:r>
    </w:p>
    <w:p>
      <w:pPr>
        <w:spacing w:before="0" w:after="80" w:line="276" w:lineRule="auto"/>
      </w:pPr>
      <w:r>
        <w:rPr>
          <w:rFonts w:ascii="Arial" w:hAnsi="Arial"/>
          <w:color w:val="1E293B"/>
          <w:sz w:val="20"/>
        </w:rPr>
        <w:t>2.  **Adanya Upah (*Wage*):** Pemegang saham menerima imbalan finansial atas dasar pekerjaan yang dilakukan (gaji bulanan), yang secara yuridis dan perpajakan terpisah dari dividen perseroan.</w:t>
      </w:r>
    </w:p>
    <w:p>
      <w:pPr>
        <w:spacing w:before="0" w:after="80" w:line="276" w:lineRule="auto"/>
      </w:pPr>
      <w:r>
        <w:rPr>
          <w:rFonts w:ascii="Arial" w:hAnsi="Arial"/>
          <w:color w:val="1E293B"/>
          <w:sz w:val="20"/>
        </w:rPr>
        <w:t>3.  **Adanya Unsur Perintah/Subordinasi (*Subordination/Direction*):** Ini merupakan elemen paling kritis. Pemegang saham yang menjadi karyawan harus berada di bawah kendali, arahan, dan hierarki operasional perseroan (biasanya di bawah Direksi atau manajer fungsional).</w:t>
      </w:r>
    </w:p>
    <w:p>
      <w:pPr>
        <w:spacing w:before="0" w:after="80"/>
      </w:pPr>
    </w:p>
    <w:p>
      <w:pPr>
        <w:spacing w:before="0" w:after="80" w:line="276" w:lineRule="auto"/>
      </w:pPr>
      <w:r>
        <w:rPr>
          <w:rFonts w:ascii="Arial" w:hAnsi="Arial"/>
          <w:color w:val="1E293B"/>
          <w:sz w:val="20"/>
        </w:rPr>
        <w:t xml:space="preserve">*Catatan Kritis bagi Pemegang Saham Mayoritas/Tunggal:* </w:t>
      </w:r>
    </w:p>
    <w:p>
      <w:pPr>
        <w:spacing w:before="0" w:after="80" w:line="276" w:lineRule="auto"/>
      </w:pPr>
      <w:r>
        <w:rPr>
          <w:rFonts w:ascii="Arial" w:hAnsi="Arial"/>
          <w:color w:val="1E293B"/>
          <w:sz w:val="20"/>
        </w:rPr>
        <w:t>Apabila seorang pemegang saham memegang 99–100% kepemilikan saham dan/atau menjabat sebagai Direktur Utama secara bersamaan, unsur **"perintah"** (*gezagverhouding*) sering kali gugur demi hukum karena tidak adanya subordinasi hierarkis (seseorang tidak dapat memberi perintah secara sah kepada dirinya sendiri). Dalam kondisi demikian, hubungan kerja dapat dianggap tidak ada atau semu (*sham employment*), dan individu tersebut semata-mata dikualifikasikan sebagai organ perseroan atau pemilik modal.</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**4. Implikasi dan Kepatuhan Praktis (*Compliance Guidance*)**</w:t>
      </w:r>
    </w:p>
    <w:p>
      <w:pPr>
        <w:spacing w:before="0" w:after="80"/>
      </w:pPr>
    </w:p>
    <w:p>
      <w:pPr>
        <w:spacing w:before="0" w:after="80" w:line="276" w:lineRule="auto"/>
      </w:pPr>
      <w:r>
        <w:rPr>
          <w:rFonts w:ascii="Arial" w:hAnsi="Arial"/>
          <w:color w:val="1E293B"/>
          <w:sz w:val="20"/>
        </w:rPr>
        <w:t xml:space="preserve">1.  **Pemisahan Dokumen Hukum:** </w:t>
      </w:r>
    </w:p>
    <w:p>
      <w:pPr>
        <w:spacing w:before="0" w:after="80" w:line="276" w:lineRule="auto"/>
      </w:pPr>
      <w:r>
        <w:rPr>
          <w:rFonts w:ascii="Arial" w:hAnsi="Arial"/>
          <w:color w:val="1E293B"/>
          <w:sz w:val="20"/>
        </w:rPr>
        <w:t xml:space="preserve">    *   Wajib memiliki **Perjanjian Kerja** formal (PKWTT atau PKWT) yang ditandatangani oleh Direksi yang berwenang atas nama perseroan dan pemegang saham sebagai pekerja.</w:t>
      </w:r>
    </w:p>
    <w:p>
      <w:pPr>
        <w:spacing w:before="0" w:after="80" w:line="276" w:lineRule="auto"/>
      </w:pPr>
      <w:r>
        <w:rPr>
          <w:rFonts w:ascii="Arial" w:hAnsi="Arial"/>
          <w:color w:val="1E293B"/>
          <w:sz w:val="20"/>
        </w:rPr>
        <w:t>2.  **Perpajakan (Pajak Penghasilan):**</w:t>
      </w:r>
    </w:p>
    <w:p>
      <w:pPr>
        <w:spacing w:before="0" w:after="80" w:line="276" w:lineRule="auto"/>
      </w:pPr>
      <w:r>
        <w:rPr>
          <w:rFonts w:ascii="Arial" w:hAnsi="Arial"/>
          <w:color w:val="1E293B"/>
          <w:sz w:val="20"/>
        </w:rPr>
        <w:t xml:space="preserve">    *   Penghasilan sebagai karyawan dikenakan pemotongan **PPh Pasal 21** dengan tarif progresif (Pasal 17 UU Pajak Penghasilan).</w:t>
      </w:r>
    </w:p>
    <w:p>
      <w:pPr>
        <w:spacing w:before="0" w:after="80" w:line="276" w:lineRule="auto"/>
      </w:pPr>
      <w:r>
        <w:rPr>
          <w:rFonts w:ascii="Arial" w:hAnsi="Arial"/>
          <w:color w:val="1E293B"/>
          <w:sz w:val="20"/>
        </w:rPr>
        <w:t xml:space="preserve">    *   Penghasilan dari modal tunduk pada rezim dividen (dapat bebas PPh jika direinvestasikan sesuai ketentuan UU Cipta Kerja / PMK No. 18/PMK.03/2021).</w:t>
      </w:r>
    </w:p>
    <w:p>
      <w:pPr>
        <w:spacing w:before="0" w:after="80" w:line="276" w:lineRule="auto"/>
      </w:pPr>
      <w:r>
        <w:rPr>
          <w:rFonts w:ascii="Arial" w:hAnsi="Arial"/>
          <w:color w:val="1E293B"/>
          <w:sz w:val="20"/>
        </w:rPr>
        <w:t>3.  **Jaminan Sosial Ketenagakerjaan &amp; Kesehatan:**</w:t>
      </w:r>
    </w:p>
    <w:p>
      <w:pPr>
        <w:spacing w:before="0" w:after="80" w:line="276" w:lineRule="auto"/>
      </w:pPr>
      <w:r>
        <w:rPr>
          <w:rFonts w:ascii="Arial" w:hAnsi="Arial"/>
          <w:color w:val="1E293B"/>
          <w:sz w:val="20"/>
        </w:rPr>
        <w:t xml:space="preserve">    *   Wajib didaftarkan dan diikutsertakan dalam program **BPJS Ketenagakerjaan** dan **BPJS Kesehatan** selayaknya pekerja pada umumnya (Pasal 14 UU No. 24 Tahun 2011).</w:t>
      </w:r>
    </w:p>
    <w:p>
      <w:pPr>
        <w:spacing w:before="0" w:after="80" w:line="276" w:lineRule="auto"/>
      </w:pPr>
      <w:r>
        <w:rPr>
          <w:rFonts w:ascii="Arial" w:hAnsi="Arial"/>
          <w:color w:val="1E293B"/>
          <w:sz w:val="20"/>
        </w:rPr>
        <w:t>4.  **Benturan Kepentingan (*Conflict of Interest*):**</w:t>
      </w:r>
    </w:p>
    <w:p>
      <w:pPr>
        <w:spacing w:before="0" w:after="80" w:line="276" w:lineRule="auto"/>
      </w:pPr>
      <w:r>
        <w:rPr>
          <w:rFonts w:ascii="Arial" w:hAnsi="Arial"/>
          <w:color w:val="1E293B"/>
          <w:sz w:val="20"/>
        </w:rPr>
        <w:t xml:space="preserve">    *   Sesuai Pasal 99 UU PT, Direksi tidak berwenang mewakili perseroan apabila terdapat benturan kepentingan antara perseroan dengan Direksi yang bersangkutan. Jika Direksi mempekerjakan diri sendiri atau pemegang saham afiliasi, harus diverifikasi apakah memerlukan persetujuan Dewan Komisaris atau RUPS berdasarkan Anggaran Dasar.</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0" w:after="80" w:line="276" w:lineRule="auto"/>
      </w:pPr>
      <w:r>
        <w:rPr>
          <w:rFonts w:ascii="Arial" w:hAnsi="Arial"/>
          <w:color w:val="1E293B"/>
          <w:sz w:val="20"/>
        </w:rPr>
        <w:t>**1. Primary Legal Conclusion**</w:t>
      </w:r>
    </w:p>
    <w:p>
      <w:pPr>
        <w:spacing w:before="0" w:after="80" w:line="276" w:lineRule="auto"/>
      </w:pPr>
      <w:r>
        <w:rPr>
          <w:rFonts w:ascii="Arial" w:hAnsi="Arial"/>
          <w:color w:val="1E293B"/>
          <w:sz w:val="20"/>
        </w:rPr>
        <w:t>Under Indonesian law, a shareholder **can concurrently act as an employee** of the same Limited Liability Company (*Perseroan Terbatas* or "PT"). Indonesian positive law—specifically Law No. 40 of 2007 on Limited Liability Companies, as amended by Law No. 6 of 2023 on the Enactment of Perppu No. 2/2022 on Job Creation into Law ("Company Law"), and Law No. 13 of 2003 on Manpower, as amended by Law No. 6 of 2023 ("Manpower Law")—contains no explicit prohibition preventing a shareholder from entering into an employment relationship with the company.</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**2. Statutory Basis &amp; Separation of Dual Capacities (*Dual Capacity*)**</w:t>
      </w:r>
    </w:p>
    <w:p>
      <w:pPr>
        <w:spacing w:before="0" w:after="80"/>
      </w:pPr>
    </w:p>
    <w:p>
      <w:pPr>
        <w:spacing w:before="0" w:after="80" w:line="276" w:lineRule="auto"/>
      </w:pPr>
      <w:r>
        <w:rPr>
          <w:rFonts w:ascii="Arial" w:hAnsi="Arial"/>
          <w:color w:val="1E293B"/>
          <w:sz w:val="20"/>
        </w:rPr>
        <w:t>*   **Capacity as a Shareholder (Corporate Law):**</w:t>
      </w:r>
    </w:p>
    <w:p>
      <w:pPr>
        <w:spacing w:before="0" w:after="80" w:line="276" w:lineRule="auto"/>
      </w:pPr>
      <w:r>
        <w:rPr>
          <w:rFonts w:ascii="Arial" w:hAnsi="Arial"/>
          <w:color w:val="1E293B"/>
          <w:sz w:val="20"/>
        </w:rPr>
        <w:t xml:space="preserve">    *   **Article 3 paragraph (1) of the Company Law:** Shareholders of a company are not personally liable for agreements entered into on behalf of the company and are not liable for company losses exceeding the shares they own (*limited liability*).</w:t>
      </w:r>
    </w:p>
    <w:p>
      <w:pPr>
        <w:spacing w:before="0" w:after="80" w:line="276" w:lineRule="auto"/>
      </w:pPr>
      <w:r>
        <w:rPr>
          <w:rFonts w:ascii="Arial" w:hAnsi="Arial"/>
          <w:color w:val="1E293B"/>
          <w:sz w:val="20"/>
        </w:rPr>
        <w:t xml:space="preserve">    *   **Article 52 paragraph (1) of the Company Law:** A share grants its owner the right to attend and cast votes in the General Meeting of Shareholders (GMS/RUPS), receive dividend distributions and remaining liquidation assets, and exercise other rights under the Company Law.</w:t>
      </w:r>
    </w:p>
    <w:p>
      <w:pPr>
        <w:spacing w:before="0" w:after="80" w:line="276" w:lineRule="auto"/>
      </w:pPr>
      <w:r>
        <w:rPr>
          <w:rFonts w:ascii="Arial" w:hAnsi="Arial"/>
          <w:color w:val="1E293B"/>
          <w:sz w:val="20"/>
        </w:rPr>
        <w:t xml:space="preserve">    *   Share ownership constitutes an equity/capital relationship that is legally distinct from the individual’s personal legal identity.</w:t>
      </w:r>
    </w:p>
    <w:p>
      <w:pPr>
        <w:spacing w:before="0" w:after="80"/>
      </w:pPr>
    </w:p>
    <w:p>
      <w:pPr>
        <w:spacing w:before="0" w:after="80" w:line="276" w:lineRule="auto"/>
      </w:pPr>
      <w:r>
        <w:rPr>
          <w:rFonts w:ascii="Arial" w:hAnsi="Arial"/>
          <w:color w:val="1E293B"/>
          <w:sz w:val="20"/>
        </w:rPr>
        <w:t>*   **Capacity as an Employee (Manpower Law):**</w:t>
      </w:r>
    </w:p>
    <w:p>
      <w:pPr>
        <w:spacing w:before="0" w:after="80" w:line="276" w:lineRule="auto"/>
      </w:pPr>
      <w:r>
        <w:rPr>
          <w:rFonts w:ascii="Arial" w:hAnsi="Arial"/>
          <w:color w:val="1E293B"/>
          <w:sz w:val="20"/>
        </w:rPr>
        <w:t xml:space="preserve">    *   **Article 1 point 15 of the Manpower Law:** </w:t>
      </w:r>
    </w:p>
    <w:p>
      <w:pPr>
        <w:spacing w:before="0" w:after="80" w:line="276" w:lineRule="auto"/>
      </w:pPr>
      <w:r>
        <w:rPr>
          <w:rFonts w:ascii="Arial" w:hAnsi="Arial"/>
          <w:color w:val="1E293B"/>
          <w:sz w:val="20"/>
        </w:rPr>
        <w:t xml:space="preserve">        &gt; *"An employment relationship is a relationship between an employer and a worker/laborer based on an employment agreement, which contains the elements of work, wage, and direction/order."*</w:t>
      </w:r>
    </w:p>
    <w:p>
      <w:pPr>
        <w:spacing w:before="0" w:after="80" w:line="276" w:lineRule="auto"/>
      </w:pPr>
      <w:r>
        <w:rPr>
          <w:rFonts w:ascii="Arial" w:hAnsi="Arial"/>
          <w:color w:val="1E293B"/>
          <w:sz w:val="20"/>
        </w:rPr>
        <w:t xml:space="preserve">    *   **Article 50 of the Manpower Law:** An employment relationship arises out of an employment agreement between an employer and an employee.</w:t>
      </w:r>
    </w:p>
    <w:p>
      <w:pPr>
        <w:spacing w:before="0" w:after="80" w:line="276" w:lineRule="auto"/>
      </w:pPr>
      <w:r>
        <w:rPr>
          <w:rFonts w:ascii="Arial" w:hAnsi="Arial"/>
          <w:color w:val="1E293B"/>
          <w:sz w:val="20"/>
        </w:rPr>
        <w:t xml:space="preserve">    *   **Article 52 paragraph (1) of the Manpower Law in conjunction with Article 1320 of the Indonesian Civil Code (KUHPerdata):** An employment agreement requires mutual consent, legal capacity to act, a defined job/work, and a lawful cause (not violating public order, morality, or statutory regulations).</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**3. Juridical Requirements for a Valid Employment Relationship**</w:t>
      </w:r>
    </w:p>
    <w:p>
      <w:pPr>
        <w:spacing w:before="0" w:after="80"/>
      </w:pPr>
    </w:p>
    <w:p>
      <w:pPr>
        <w:spacing w:before="0" w:after="80" w:line="276" w:lineRule="auto"/>
      </w:pPr>
      <w:r>
        <w:rPr>
          <w:rFonts w:ascii="Arial" w:hAnsi="Arial"/>
          <w:color w:val="1E293B"/>
          <w:sz w:val="20"/>
        </w:rPr>
        <w:t>For the employment relationship between a shareholder and the company to be legally enforceable, the three cumulative elements under **Article 1 point 15 of the Manpower Law** must be satisfied in substance (*substance over form*):</w:t>
      </w:r>
    </w:p>
    <w:p>
      <w:pPr>
        <w:spacing w:before="0" w:after="80" w:line="276" w:lineRule="auto"/>
      </w:pPr>
      <w:r>
        <w:rPr>
          <w:rFonts w:ascii="Arial" w:hAnsi="Arial"/>
          <w:color w:val="1E293B"/>
          <w:sz w:val="20"/>
        </w:rPr>
        <w:t>1.  **Work (*Pekerjaan*):** There must be clear operational duties, job descriptions, and responsibilities executed independently from the exercise of shareholder rights.</w:t>
      </w:r>
    </w:p>
    <w:p>
      <w:pPr>
        <w:spacing w:before="0" w:after="80" w:line="276" w:lineRule="auto"/>
      </w:pPr>
      <w:r>
        <w:rPr>
          <w:rFonts w:ascii="Arial" w:hAnsi="Arial"/>
          <w:color w:val="1E293B"/>
          <w:sz w:val="20"/>
        </w:rPr>
        <w:t>2.  **Wage (*Upah*):** The shareholder must receive financial compensation for services rendered (monthly salary), which must be legally, structurally, and fiscally segregated from company dividend payouts.</w:t>
      </w:r>
    </w:p>
    <w:p>
      <w:pPr>
        <w:spacing w:before="0" w:after="80" w:line="276" w:lineRule="auto"/>
      </w:pPr>
      <w:r>
        <w:rPr>
          <w:rFonts w:ascii="Arial" w:hAnsi="Arial"/>
          <w:color w:val="1E293B"/>
          <w:sz w:val="20"/>
        </w:rPr>
        <w:t>3.  **Subordination/Direction (*Perintah*):** This is the decisive legal test. The shareholder-employee must be subject to the company's managerial control, instruction, and operational hierarchy (typically reporting to the Board of Directors or functional managers).</w:t>
      </w:r>
    </w:p>
    <w:p>
      <w:pPr>
        <w:spacing w:before="0" w:after="80"/>
      </w:pPr>
    </w:p>
    <w:p>
      <w:pPr>
        <w:spacing w:before="0" w:after="80" w:line="276" w:lineRule="auto"/>
      </w:pPr>
      <w:r>
        <w:rPr>
          <w:rFonts w:ascii="Arial" w:hAnsi="Arial"/>
          <w:color w:val="1E293B"/>
          <w:sz w:val="20"/>
        </w:rPr>
        <w:t>*Critical Note for Majority or Sole Shareholders:*</w:t>
      </w:r>
    </w:p>
    <w:p>
      <w:pPr>
        <w:spacing w:before="0" w:after="80" w:line="276" w:lineRule="auto"/>
      </w:pPr>
      <w:r>
        <w:rPr>
          <w:rFonts w:ascii="Arial" w:hAnsi="Arial"/>
          <w:color w:val="1E293B"/>
          <w:sz w:val="20"/>
        </w:rPr>
        <w:t>Where an individual holds substantially all shares (e.g., 99–100%) and/or also occupies the sole Directorship, the element of **"direction/subordination"** (*gezagverhouding*) often fails as a matter of law because hierarchical subordination cannot exist (an individual cannot legally issue binding supervisory employment orders to oneself). In such circumstances, the employment contract risks being deemed legally void or a "sham employment," and the individual is characterized solely as an organ of the company or an equity owner.</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**4. Legal Implications &amp; Practical Compliance Guidance**</w:t>
      </w:r>
    </w:p>
    <w:p>
      <w:pPr>
        <w:spacing w:before="0" w:after="80"/>
      </w:pPr>
    </w:p>
    <w:p>
      <w:pPr>
        <w:spacing w:before="0" w:after="80" w:line="276" w:lineRule="auto"/>
      </w:pPr>
      <w:r>
        <w:rPr>
          <w:rFonts w:ascii="Arial" w:hAnsi="Arial"/>
          <w:color w:val="1E293B"/>
          <w:sz w:val="20"/>
        </w:rPr>
        <w:t xml:space="preserve">1.  **Segregated Documentation:** </w:t>
      </w:r>
    </w:p>
    <w:p>
      <w:pPr>
        <w:spacing w:before="0" w:after="80" w:line="276" w:lineRule="auto"/>
      </w:pPr>
      <w:r>
        <w:rPr>
          <w:rFonts w:ascii="Arial" w:hAnsi="Arial"/>
          <w:color w:val="1E293B"/>
          <w:sz w:val="20"/>
        </w:rPr>
        <w:t xml:space="preserve">    *   Execute a formal, standalone **Employment Agreement** (either an indefinite contract/PKWTT or fixed-term contract/PKWT) executed by the authorized Director representing the company, and the shareholder in their capacity as an employee.</w:t>
      </w:r>
    </w:p>
    <w:p>
      <w:pPr>
        <w:spacing w:before="0" w:after="80" w:line="276" w:lineRule="auto"/>
      </w:pPr>
      <w:r>
        <w:rPr>
          <w:rFonts w:ascii="Arial" w:hAnsi="Arial"/>
          <w:color w:val="1E293B"/>
          <w:sz w:val="20"/>
        </w:rPr>
        <w:t>2.  **Taxation (Income Tax):**</w:t>
      </w:r>
    </w:p>
    <w:p>
      <w:pPr>
        <w:spacing w:before="0" w:after="80" w:line="276" w:lineRule="auto"/>
      </w:pPr>
      <w:r>
        <w:rPr>
          <w:rFonts w:ascii="Arial" w:hAnsi="Arial"/>
          <w:color w:val="1E293B"/>
          <w:sz w:val="20"/>
        </w:rPr>
        <w:t xml:space="preserve">    *   Remuneration as an employee is subject to progressive withholding under **Income Tax Article 21 (PPh 21)**.</w:t>
      </w:r>
    </w:p>
    <w:p>
      <w:pPr>
        <w:spacing w:before="0" w:after="80" w:line="276" w:lineRule="auto"/>
      </w:pPr>
      <w:r>
        <w:rPr>
          <w:rFonts w:ascii="Arial" w:hAnsi="Arial"/>
          <w:color w:val="1E293B"/>
          <w:sz w:val="20"/>
        </w:rPr>
        <w:t xml:space="preserve">    *   Returns on equity are subject to the dividend tax regime (exempt from income tax if reinvested in accordance with the Job Creation Law / MoF Regulation No. 18/PMK.03/2021).</w:t>
      </w:r>
    </w:p>
    <w:p>
      <w:pPr>
        <w:spacing w:before="0" w:after="80" w:line="276" w:lineRule="auto"/>
      </w:pPr>
      <w:r>
        <w:rPr>
          <w:rFonts w:ascii="Arial" w:hAnsi="Arial"/>
          <w:color w:val="1E293B"/>
          <w:sz w:val="20"/>
        </w:rPr>
        <w:t>3.  **Mandatory Social Security Registration:**</w:t>
      </w:r>
    </w:p>
    <w:p>
      <w:pPr>
        <w:spacing w:before="0" w:after="80" w:line="276" w:lineRule="auto"/>
      </w:pPr>
      <w:r>
        <w:rPr>
          <w:rFonts w:ascii="Arial" w:hAnsi="Arial"/>
          <w:color w:val="1E293B"/>
          <w:sz w:val="20"/>
        </w:rPr>
        <w:t xml:space="preserve">    *   The shareholder-employee must be enrolled in the mandatory state welfare programs under **BPJS Ketenagakerjaan** (Employment Social Security) and **BPJS Kesehatan** (Healthcare Social Security) pursuant to Article 14 of Law No. 24 of 2011.</w:t>
      </w:r>
    </w:p>
    <w:p>
      <w:pPr>
        <w:spacing w:before="0" w:after="80" w:line="276" w:lineRule="auto"/>
      </w:pPr>
      <w:r>
        <w:rPr>
          <w:rFonts w:ascii="Arial" w:hAnsi="Arial"/>
          <w:color w:val="1E293B"/>
          <w:sz w:val="20"/>
        </w:rPr>
        <w:t>4.  **Conflict of Interest Compliance:**</w:t>
      </w:r>
    </w:p>
    <w:p>
      <w:pPr>
        <w:spacing w:before="0" w:after="80" w:line="276" w:lineRule="auto"/>
      </w:pPr>
      <w:r>
        <w:rPr>
          <w:rFonts w:ascii="Arial" w:hAnsi="Arial"/>
          <w:color w:val="1E293B"/>
          <w:sz w:val="20"/>
        </w:rPr>
        <w:t xml:space="preserve">    *   Pursuant to Article 99 of the Company Law, a member of the Board of Directors is unauthorized to represent the company if there is a conflict of interest. Where the employment of an affiliated shareholder triggers conflict-of-interest thresholds, authorization from the Board of Commissioners or the GMS may be required pursuant to the company's Articles of Association.</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