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Statutory Laws &amp; Regulations Lookup: "can a shareholder also be an employee"</w:t>
      </w:r>
    </w:p>
    <w:p>
      <w:pPr>
        <w:spacing w:before="0" w:after="360"/>
        <w:jc w:val="center"/>
      </w:pPr>
      <w:r>
        <w:rPr>
          <w:rFonts w:ascii="Arial" w:hAnsi="Arial"/>
          <w:color w:val="64748B"/>
          <w:sz w:val="17"/>
        </w:rPr>
        <w:t>CATEGORY: CORPORATE &amp; INVESTMENT | DUAL LANGUAGE: ID ↔ ENGLISH | 06 November 2026</w:t>
      </w:r>
    </w:p>
    <w:p>
      <w:pPr>
        <w:spacing w:before="280" w:after="120"/>
      </w:pPr>
      <w:r>
        <w:rPr>
          <w:rFonts w:ascii="Arial" w:hAnsi="Arial"/>
          <w:b/>
          <w:color w:val="0F172A"/>
          <w:sz w:val="24"/>
        </w:rPr>
        <w:t>1. Analisis Hukum &amp; Rujukan Statuta (Bahasa Indonesia)</w:t>
      </w:r>
    </w:p>
    <w:p>
      <w:pPr>
        <w:spacing w:before="160" w:after="80" w:line="276" w:lineRule="auto"/>
      </w:pPr>
      <w:r>
        <w:rPr>
          <w:rFonts w:ascii="Arial" w:hAnsi="Arial"/>
          <w:b/>
          <w:color w:val="0F172A"/>
          <w:sz w:val="21"/>
        </w:rPr>
        <w:t>ANALISIS HUKUM &amp; PASAL TERKAIT (BAHASA INDONESIA)</w:t>
      </w:r>
    </w:p>
    <w:p>
      <w:pPr>
        <w:spacing w:before="0" w:after="80"/>
      </w:pPr>
    </w:p>
    <w:p>
      <w:pPr>
        <w:spacing w:before="160" w:after="80" w:line="276" w:lineRule="auto"/>
      </w:pPr>
      <w:r>
        <w:rPr>
          <w:rFonts w:ascii="Arial" w:hAnsi="Arial"/>
          <w:b/>
          <w:color w:val="0F172A"/>
          <w:sz w:val="21"/>
        </w:rPr>
        <w:t>#### 1. Kesimpulan Yuridis Utama</w:t>
      </w:r>
    </w:p>
    <w:p>
      <w:pPr>
        <w:spacing w:before="0" w:after="80" w:line="276" w:lineRule="auto"/>
      </w:pPr>
      <w:r>
        <w:rPr>
          <w:rFonts w:ascii="Arial" w:hAnsi="Arial"/>
          <w:color w:val="1E293B"/>
          <w:sz w:val="20"/>
        </w:rPr>
        <w:t xml:space="preserve">Berdasarkan hukum positif Republik Indonesia, **seorang pemegang saham secara sah diperbolehkan untuk menjadi pekerja/karyawan di perseroan terbatas (PT) yang sama**. Tidak ada ketentuan dalam Undang-Undang Nomor 40 Tahun 2007 tentang Perseroan Terbatas (**UU PT**) maupun Undang-Undang Nomor 13 Tahun 2003 tentang Ketenagakerjaan sebagaimana telah diubah oleh Undang-Undang Nomor 6 Tahun 2023 (**UU Ketenagakerjaan**) yang melarang kepemilikan saham bersamaan dengan adanya hubungan kerja (dual capacity). </w:t>
      </w:r>
    </w:p>
    <w:p>
      <w:pPr>
        <w:spacing w:before="0" w:after="80"/>
      </w:pPr>
    </w:p>
    <w:p>
      <w:pPr>
        <w:spacing w:before="0" w:after="80" w:line="276" w:lineRule="auto"/>
      </w:pPr>
      <w:r>
        <w:rPr>
          <w:rFonts w:ascii="Arial" w:hAnsi="Arial"/>
          <w:color w:val="1E293B"/>
          <w:sz w:val="20"/>
        </w:rPr>
        <w:t>Namun demikian, terdapat pemisahan hak, kewajiban, dan rezim hukum yang tegas antara kedudukan sebagai pemilik modal (pemegang saham) dan kedudukan sebagai buruh/pekerja.</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Dasar Hukum dan Pemisahan Kapasitas Hukum</w:t>
      </w:r>
    </w:p>
    <w:p>
      <w:pPr>
        <w:spacing w:before="0" w:after="80"/>
      </w:pPr>
    </w:p>
    <w:p>
      <w:pPr>
        <w:spacing w:before="160" w:after="80" w:line="276" w:lineRule="auto"/>
      </w:pPr>
      <w:r>
        <w:rPr>
          <w:rFonts w:ascii="Arial" w:hAnsi="Arial"/>
          <w:b/>
          <w:color w:val="0F172A"/>
          <w:sz w:val="21"/>
        </w:rPr>
        <w:t>##### A. Rezim Hukum Ketenagakerjaan (Kapasitas sebagai Karyawan)</w:t>
      </w:r>
    </w:p>
    <w:p>
      <w:pPr>
        <w:spacing w:before="0" w:after="80" w:line="276" w:lineRule="auto"/>
      </w:pPr>
      <w:r>
        <w:rPr>
          <w:rFonts w:ascii="Arial" w:hAnsi="Arial"/>
          <w:color w:val="1E293B"/>
          <w:sz w:val="20"/>
        </w:rPr>
        <w:t>Agar pemegang saham dapat dikualifikasikan secara sah sebagai karyawan, hubungan kerja tersebut wajib memenuhi unsur-unsur materiil hubungan kerja sebagaimana diatur dalam:</w:t>
      </w:r>
    </w:p>
    <w:p>
      <w:pPr>
        <w:spacing w:before="0" w:after="80" w:line="276" w:lineRule="auto"/>
      </w:pPr>
      <w:r>
        <w:rPr>
          <w:rFonts w:ascii="Arial" w:hAnsi="Arial"/>
          <w:color w:val="1E293B"/>
          <w:sz w:val="20"/>
        </w:rPr>
        <w:t>* **Pasal 1 angka 15 UU No. 13/2003 jo. UU No. 6/2023:**</w:t>
      </w:r>
    </w:p>
    <w:p>
      <w:pPr>
        <w:spacing w:before="0" w:after="80" w:line="276" w:lineRule="auto"/>
      </w:pPr>
      <w:r>
        <w:rPr>
          <w:rFonts w:ascii="Arial" w:hAnsi="Arial"/>
          <w:color w:val="1E293B"/>
          <w:sz w:val="20"/>
        </w:rPr>
        <w:t xml:space="preserve">  &gt; *"Hubungan kerja adalah hubungan antara pengusaha dengan pekerja/buruh berdasarkan perjanjian kerja, yang mempunyai unsur pekerjaan, upah, dan perintah."*</w:t>
      </w:r>
    </w:p>
    <w:p>
      <w:pPr>
        <w:spacing w:before="0" w:after="80" w:line="276" w:lineRule="auto"/>
      </w:pPr>
      <w:r>
        <w:rPr>
          <w:rFonts w:ascii="Arial" w:hAnsi="Arial"/>
          <w:color w:val="1E293B"/>
          <w:sz w:val="20"/>
        </w:rPr>
        <w:t>* **Pasal 50 UU No. 13/2003 jo. UU No. 6/2023 &amp; Pasal 1601a KUHPerdata:**</w:t>
      </w:r>
    </w:p>
    <w:p>
      <w:pPr>
        <w:spacing w:before="0" w:after="80" w:line="276" w:lineRule="auto"/>
      </w:pPr>
      <w:r>
        <w:rPr>
          <w:rFonts w:ascii="Arial" w:hAnsi="Arial"/>
          <w:color w:val="1E293B"/>
          <w:sz w:val="20"/>
        </w:rPr>
        <w:t xml:space="preserve">  Hubungan kerja timbul melalui perjanjian kerja yang mengikat kedua belah pihak dan tunduk pada asas kebebasan berkontrak sepanjang memenuhi syarat sahnya perjanjian (Pasal 1320 KUHPerdata).</w:t>
      </w:r>
    </w:p>
    <w:p>
      <w:pPr>
        <w:spacing w:before="0" w:after="80"/>
      </w:pPr>
    </w:p>
    <w:p>
      <w:pPr>
        <w:spacing w:before="0" w:after="80" w:line="276" w:lineRule="auto"/>
      </w:pPr>
      <w:r>
        <w:rPr>
          <w:rFonts w:ascii="Arial" w:hAnsi="Arial"/>
          <w:color w:val="1E293B"/>
          <w:sz w:val="20"/>
        </w:rPr>
        <w:t xml:space="preserve">**Konsekuensi Hukum:** </w:t>
      </w:r>
    </w:p>
    <w:p>
      <w:pPr>
        <w:spacing w:before="0" w:after="80" w:line="276" w:lineRule="auto"/>
      </w:pPr>
      <w:r>
        <w:rPr>
          <w:rFonts w:ascii="Arial" w:hAnsi="Arial"/>
          <w:color w:val="1E293B"/>
          <w:sz w:val="20"/>
        </w:rPr>
        <w:t>Unsur **"perintah" (subordinasi yuridis)** merupakan tolok ukur fundamental. Pemegang saham yang bertindak sebagai karyawan wajib tunduk pada arahan, pengawasan, regulasi internal (Peraturan Perusahaan/PKB), dan diskresi manajerial Direksi.</w:t>
      </w:r>
    </w:p>
    <w:p>
      <w:pPr>
        <w:spacing w:before="0" w:after="80"/>
      </w:pPr>
    </w:p>
    <w:p>
      <w:pPr>
        <w:spacing w:before="160" w:after="80" w:line="276" w:lineRule="auto"/>
      </w:pPr>
      <w:r>
        <w:rPr>
          <w:rFonts w:ascii="Arial" w:hAnsi="Arial"/>
          <w:b/>
          <w:color w:val="0F172A"/>
          <w:sz w:val="21"/>
        </w:rPr>
        <w:t>##### B. Rezim Hukum Perusahaan (Kapasitas sebagai Pemegang Saham)</w:t>
      </w:r>
    </w:p>
    <w:p>
      <w:pPr>
        <w:spacing w:before="0" w:after="80" w:line="276" w:lineRule="auto"/>
      </w:pPr>
      <w:r>
        <w:rPr>
          <w:rFonts w:ascii="Arial" w:hAnsi="Arial"/>
          <w:color w:val="1E293B"/>
          <w:sz w:val="20"/>
        </w:rPr>
        <w:t>* **Pasal 3 ayat (1) UU No. 40/2007:**</w:t>
      </w:r>
    </w:p>
    <w:p>
      <w:pPr>
        <w:spacing w:before="0" w:after="80" w:line="276" w:lineRule="auto"/>
      </w:pPr>
      <w:r>
        <w:rPr>
          <w:rFonts w:ascii="Arial" w:hAnsi="Arial"/>
          <w:color w:val="1E293B"/>
          <w:sz w:val="20"/>
        </w:rPr>
        <w:t xml:space="preserve">  &gt; *"Pemegang saham Perseroan tidak bertanggung jawab secara pribadi atas perikatan yang dibuat atas nama Perseroan dan tidak bertanggung jawab atas kerugian Perseroan melebihi saham yang dimiliki."*</w:t>
      </w:r>
    </w:p>
    <w:p>
      <w:pPr>
        <w:spacing w:before="0" w:after="80" w:line="276" w:lineRule="auto"/>
      </w:pPr>
      <w:r>
        <w:rPr>
          <w:rFonts w:ascii="Arial" w:hAnsi="Arial"/>
          <w:color w:val="1E293B"/>
          <w:sz w:val="20"/>
        </w:rPr>
        <w:t>* **Pasal 52 ayat (1) UU No. 40/2007:**</w:t>
      </w:r>
    </w:p>
    <w:p>
      <w:pPr>
        <w:spacing w:before="0" w:after="80" w:line="276" w:lineRule="auto"/>
      </w:pPr>
      <w:r>
        <w:rPr>
          <w:rFonts w:ascii="Arial" w:hAnsi="Arial"/>
          <w:color w:val="1E293B"/>
          <w:sz w:val="20"/>
        </w:rPr>
        <w:t xml:space="preserve">  Mengatur hak kebendaan pemegang saham, termasuk hak menghadiri dan mengeluarkan suara dalam RUPS, menerima pembayaran dividen dan sisa kekayaan hasil likuidasi, serta menjalankan hak lainnya berdasarkan UU PT.</w:t>
      </w:r>
    </w:p>
    <w:p>
      <w:pPr>
        <w:spacing w:before="0" w:after="80"/>
      </w:pPr>
    </w:p>
    <w:p>
      <w:pPr>
        <w:spacing w:before="0" w:after="80" w:line="276" w:lineRule="auto"/>
      </w:pPr>
      <w:r>
        <w:rPr>
          <w:rFonts w:ascii="Arial" w:hAnsi="Arial"/>
          <w:color w:val="1E293B"/>
          <w:sz w:val="20"/>
        </w:rPr>
        <w:t>Kedua hubungan hukum ini berdiri sendiri: perselisihan ketenagakerjaan diadili di Pengadilan Hubungan Industrial (PHI), sedangkan perselisihan perseroan tunduk pada hukum perdata murni/peradilan umum.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Pengecualian dan Kualifikasi Khusus (Direksi &amp; Hubungan Istimewa)</w:t>
      </w:r>
    </w:p>
    <w:p>
      <w:pPr>
        <w:spacing w:before="0" w:after="80"/>
      </w:pPr>
    </w:p>
    <w:p>
      <w:pPr>
        <w:spacing w:before="0" w:after="80" w:line="276" w:lineRule="auto"/>
      </w:pPr>
      <w:r>
        <w:rPr>
          <w:rFonts w:ascii="Arial" w:hAnsi="Arial"/>
          <w:color w:val="1E293B"/>
          <w:sz w:val="20"/>
        </w:rPr>
        <w:t>1. **Pemegang Saham yang Menjabat sebagai Direksi:**</w:t>
      </w:r>
    </w:p>
    <w:p>
      <w:pPr>
        <w:spacing w:before="0" w:after="80" w:line="276" w:lineRule="auto"/>
      </w:pPr>
      <w:r>
        <w:rPr>
          <w:rFonts w:ascii="Arial" w:hAnsi="Arial"/>
          <w:color w:val="1E293B"/>
          <w:sz w:val="20"/>
        </w:rPr>
        <w:t xml:space="preserve">   Bila seorang pemegang saham diangkat menjadi anggota Direksi melalui RUPS (Pasal 94 UU PT), yurisprudensi Mahkamah Agung (misalnya *Putusan MA No. 515 K/Pdt.Sus-PHI/2020*) menegaskan bahwa hubungan antara Direktur dan Perseroan adalah hubungan organ perseroan (*corporate organ*), bukan hubungan industrial buruh-majikan. Oleh karena itu, anggota Direksi tidak tunduk pada perlindungan pesangon atau mekanisme perselisihan UU Ketenagakerjaan, melainkan ketentuan UU PT dan Anggaran Dasar.</w:t>
      </w:r>
    </w:p>
    <w:p>
      <w:pPr>
        <w:spacing w:before="0" w:after="80" w:line="276" w:lineRule="auto"/>
      </w:pPr>
      <w:r>
        <w:rPr>
          <w:rFonts w:ascii="Arial" w:hAnsi="Arial"/>
          <w:color w:val="1E293B"/>
          <w:sz w:val="20"/>
        </w:rPr>
        <w:t>2. **Pemegang Saham Tunggal / Mayoritas Mutlak:**</w:t>
      </w:r>
    </w:p>
    <w:p>
      <w:pPr>
        <w:spacing w:before="0" w:after="80" w:line="276" w:lineRule="auto"/>
      </w:pPr>
      <w:r>
        <w:rPr>
          <w:rFonts w:ascii="Arial" w:hAnsi="Arial"/>
          <w:color w:val="1E293B"/>
          <w:sz w:val="20"/>
        </w:rPr>
        <w:t xml:space="preserve">   Jika seorang individu memiliki seluruh atau kendali mutlak atas saham sekaligus bertindak sebagai Direktur tunggal, unsur subordinasi (*perintah*) menjadi hilang secara faktual. Tanpa adanya pihak atasan yang memberikan perintah, hubungan kerja sejati tidak terbentuk di mata hukum.</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Implikasi Perpajakan (*Transfer Pricing* &amp; Dividen Terselubung)</w:t>
      </w:r>
    </w:p>
    <w:p>
      <w:pPr>
        <w:spacing w:before="0" w:after="80" w:line="276" w:lineRule="auto"/>
      </w:pPr>
      <w:r>
        <w:rPr>
          <w:rFonts w:ascii="Arial" w:hAnsi="Arial"/>
          <w:color w:val="1E293B"/>
          <w:sz w:val="20"/>
        </w:rPr>
        <w:t>Berdasarkan Undang-Undang Pajak Penghasilan (UU No. 7 Tahun 1983 stdtd. UU No. 7 Tahun 2021 tentang Harmonisasi Peraturan Perpajakan / **UU HPP**):</w:t>
      </w:r>
    </w:p>
    <w:p>
      <w:pPr>
        <w:spacing w:before="0" w:after="80" w:line="276" w:lineRule="auto"/>
      </w:pPr>
      <w:r>
        <w:rPr>
          <w:rFonts w:ascii="Arial" w:hAnsi="Arial"/>
          <w:color w:val="1E293B"/>
          <w:sz w:val="20"/>
        </w:rPr>
        <w:t>* **Hubungan Istimewa (Pasal 18 ayat (4) UU PPh):** Hubungan antara pemegang saham dan perseroan dianggap memiliki hubungan istimewa bila kepemilikan modal mencapai 25% atau lebih.</w:t>
      </w:r>
    </w:p>
    <w:p>
      <w:pPr>
        <w:spacing w:before="0" w:after="80" w:line="276" w:lineRule="auto"/>
      </w:pPr>
      <w:r>
        <w:rPr>
          <w:rFonts w:ascii="Arial" w:hAnsi="Arial"/>
          <w:color w:val="1E293B"/>
          <w:sz w:val="20"/>
        </w:rPr>
        <w:t>* **Dividen Terselubung (Pasal 9 ayat (1) huruf f UU PPh):** Gaji atau imbalan yang dibayarkan kepada pemegang saham yang bekerja sebagai karyawan harus memenuhi **Prinsip Kewajaran dan Kelaziman Usaha (*Arm’s Length Principle*)**. Apabila gaji yang dibayarkan melebihi nilai wajar pekerjaan yang dilakukan, selisih lebih tersebut akan dikoreksi fiskal oleh Direktorat Jenderal Pajak dan direkarakterisasi sebagai dividen terselubung, yang dapat dikenai sanksi pajak dan pajak dividen.</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Panduan Kepatuhan Praktis</w:t>
      </w:r>
    </w:p>
    <w:p>
      <w:pPr>
        <w:spacing w:before="0" w:after="80" w:line="276" w:lineRule="auto"/>
      </w:pPr>
      <w:r>
        <w:rPr>
          <w:rFonts w:ascii="Arial" w:hAnsi="Arial"/>
          <w:color w:val="1E293B"/>
          <w:sz w:val="20"/>
        </w:rPr>
        <w:t>1. **Perjanjian Kerja Tertulis:** Susun Perjanjian Kerja Waktu Tertentu (PKWT) atau Waktu Tidak Tertentu (PKWTT) yang formal terpisah dari status kepemilikan saham.</w:t>
      </w:r>
    </w:p>
    <w:p>
      <w:pPr>
        <w:spacing w:before="0" w:after="80" w:line="276" w:lineRule="auto"/>
      </w:pPr>
      <w:r>
        <w:rPr>
          <w:rFonts w:ascii="Arial" w:hAnsi="Arial"/>
          <w:color w:val="1E293B"/>
          <w:sz w:val="20"/>
        </w:rPr>
        <w:t>2. **Uraian Tugas Objektif:** Tetapkan *Job Description* dan indikator kinerja (KPI) yang jelas di bawah garis hierarki Direksi atau manajer operasional.</w:t>
      </w:r>
    </w:p>
    <w:p>
      <w:pPr>
        <w:spacing w:before="0" w:after="80" w:line="276" w:lineRule="auto"/>
      </w:pPr>
      <w:r>
        <w:rPr>
          <w:rFonts w:ascii="Arial" w:hAnsi="Arial"/>
          <w:color w:val="1E293B"/>
          <w:sz w:val="20"/>
        </w:rPr>
        <w:t>3. **Dokumentasi Penggajian &amp; PPh 21:** Pastikan pembayaran upah dicatat sebagai beban operasional tenaga kerja, dipotong PPh Pasal 21, dan dibayarkan sesuai nilai pasar wajar (bukan kompensasi pembagian keuntungan).</w:t>
      </w:r>
    </w:p>
    <w:p>
      <w:pPr>
        <w:spacing w:before="0" w:after="80" w:line="276" w:lineRule="auto"/>
      </w:pPr>
      <w:r>
        <w:rPr>
          <w:rFonts w:ascii="Arial" w:hAnsi="Arial"/>
          <w:color w:val="1E293B"/>
          <w:sz w:val="20"/>
        </w:rPr>
        <w:t>4. **Keikutsertaan Jaminan Sosial:** Daftarkan pemegang saham yang bersangkutan ke dalam program BPJS Ketenagakerjaan dan BPJS Kesehatan sebagaimana layaknya karyawan lainnya.</w:t>
      </w:r>
    </w:p>
    <w:p>
      <w:pPr>
        <w:spacing w:before="280" w:after="120"/>
      </w:pPr>
      <w:r>
        <w:rPr>
          <w:rFonts w:ascii="Arial" w:hAnsi="Arial"/>
          <w:b/>
          <w:color w:val="B45309"/>
          <w:sz w:val="24"/>
        </w:rPr>
        <w:t>2. Parallel Statutory Analysis &amp; Translation (English)</w:t>
      </w:r>
    </w:p>
    <w:p>
      <w:pPr>
        <w:spacing w:before="160" w:after="80" w:line="276" w:lineRule="auto"/>
      </w:pPr>
      <w:r>
        <w:rPr>
          <w:rFonts w:ascii="Arial" w:hAnsi="Arial"/>
          <w:b/>
          <w:color w:val="0F172A"/>
          <w:sz w:val="21"/>
        </w:rPr>
        <w:t>LEGAL ANALYSIS &amp; STATUTORY PROVISIONS (ENGLISH)</w:t>
      </w:r>
    </w:p>
    <w:p>
      <w:pPr>
        <w:spacing w:before="0" w:after="80"/>
      </w:pPr>
    </w:p>
    <w:p>
      <w:pPr>
        <w:spacing w:before="160" w:after="80" w:line="276" w:lineRule="auto"/>
      </w:pPr>
      <w:r>
        <w:rPr>
          <w:rFonts w:ascii="Arial" w:hAnsi="Arial"/>
          <w:b/>
          <w:color w:val="0F172A"/>
          <w:sz w:val="21"/>
        </w:rPr>
        <w:t>#### 1. Primary Legal Conclusion</w:t>
      </w:r>
    </w:p>
    <w:p>
      <w:pPr>
        <w:spacing w:before="0" w:after="80" w:line="276" w:lineRule="auto"/>
      </w:pPr>
      <w:r>
        <w:rPr>
          <w:rFonts w:ascii="Arial" w:hAnsi="Arial"/>
          <w:color w:val="1E293B"/>
          <w:sz w:val="20"/>
        </w:rPr>
        <w:t>Under Indonesian positive law, **a shareholder is legally permitted to concurrently serve as an employee within the same limited liability company (*Perseroan Terbatas* / PT)**. Neither Law No. 40 of 2007 on Limited Liability Companies (**Company Law**) nor Law No. 13 of 2003 on Manpower as amended by Law No. 6 of 2023 (**Manpower Law**) prohibits a shareholder from holding dual capacity as both an equity owner and an employee.</w:t>
      </w:r>
    </w:p>
    <w:p>
      <w:pPr>
        <w:spacing w:before="0" w:after="80"/>
      </w:pPr>
    </w:p>
    <w:p>
      <w:pPr>
        <w:spacing w:before="0" w:after="80" w:line="276" w:lineRule="auto"/>
      </w:pPr>
      <w:r>
        <w:rPr>
          <w:rFonts w:ascii="Arial" w:hAnsi="Arial"/>
          <w:color w:val="1E293B"/>
          <w:sz w:val="20"/>
        </w:rPr>
        <w:t>However, strict statutory delineations exist concerning the rights, duties, and applicable legal regimes governing the status of an equity holder versus that of a laborer/worker.</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2. Statutory Basis and Separation of Legal Capacity</w:t>
      </w:r>
    </w:p>
    <w:p>
      <w:pPr>
        <w:spacing w:before="0" w:after="80"/>
      </w:pPr>
    </w:p>
    <w:p>
      <w:pPr>
        <w:spacing w:before="160" w:after="80" w:line="276" w:lineRule="auto"/>
      </w:pPr>
      <w:r>
        <w:rPr>
          <w:rFonts w:ascii="Arial" w:hAnsi="Arial"/>
          <w:b/>
          <w:color w:val="0F172A"/>
          <w:sz w:val="21"/>
        </w:rPr>
        <w:t>##### A. Manpower Legal Regime (Capacity as an Employee)</w:t>
      </w:r>
    </w:p>
    <w:p>
      <w:pPr>
        <w:spacing w:before="0" w:after="80" w:line="276" w:lineRule="auto"/>
      </w:pPr>
      <w:r>
        <w:rPr>
          <w:rFonts w:ascii="Arial" w:hAnsi="Arial"/>
          <w:color w:val="1E293B"/>
          <w:sz w:val="20"/>
        </w:rPr>
        <w:t>For a shareholder to be legally qualified as an employee, the employment relationship must meet the essential statutory elements prescribed under:</w:t>
      </w:r>
    </w:p>
    <w:p>
      <w:pPr>
        <w:spacing w:before="0" w:after="80" w:line="276" w:lineRule="auto"/>
      </w:pPr>
      <w:r>
        <w:rPr>
          <w:rFonts w:ascii="Arial" w:hAnsi="Arial"/>
          <w:color w:val="1E293B"/>
          <w:sz w:val="20"/>
        </w:rPr>
        <w:t>* **Article 1 point 15 of Law No. 13/2003 in conjunction with Law No. 6/2023:**</w:t>
      </w:r>
    </w:p>
    <w:p>
      <w:pPr>
        <w:spacing w:before="0" w:after="80" w:line="276" w:lineRule="auto"/>
      </w:pPr>
      <w:r>
        <w:rPr>
          <w:rFonts w:ascii="Arial" w:hAnsi="Arial"/>
          <w:color w:val="1E293B"/>
          <w:sz w:val="20"/>
        </w:rPr>
        <w:t xml:space="preserve">  &gt; *"An employment relationship is a relationship between an employer and an employee/worker based on an employment agreement, which contains elements of work, wages, and commands/orders."*</w:t>
      </w:r>
    </w:p>
    <w:p>
      <w:pPr>
        <w:spacing w:before="0" w:after="80" w:line="276" w:lineRule="auto"/>
      </w:pPr>
      <w:r>
        <w:rPr>
          <w:rFonts w:ascii="Arial" w:hAnsi="Arial"/>
          <w:color w:val="1E293B"/>
          <w:sz w:val="20"/>
        </w:rPr>
        <w:t>* **Article 50 of Law No. 13/2003 in conjunction with Law No. 6/2023 &amp; Article 1601a of the Indonesian Civil Code (KUHPerdata):**</w:t>
      </w:r>
    </w:p>
    <w:p>
      <w:pPr>
        <w:spacing w:before="0" w:after="80" w:line="276" w:lineRule="auto"/>
      </w:pPr>
      <w:r>
        <w:rPr>
          <w:rFonts w:ascii="Arial" w:hAnsi="Arial"/>
          <w:color w:val="1E293B"/>
          <w:sz w:val="20"/>
        </w:rPr>
        <w:t xml:space="preserve">  The employment relationship originates from a contract binding both parties, subject to the principle of freedom of contract provided it fulfills the validity requirements of an agreement (Article 1320 Indonesian Civil Code).</w:t>
      </w:r>
    </w:p>
    <w:p>
      <w:pPr>
        <w:spacing w:before="0" w:after="80"/>
      </w:pPr>
    </w:p>
    <w:p>
      <w:pPr>
        <w:spacing w:before="0" w:after="80" w:line="276" w:lineRule="auto"/>
      </w:pPr>
      <w:r>
        <w:rPr>
          <w:rFonts w:ascii="Arial" w:hAnsi="Arial"/>
          <w:color w:val="1E293B"/>
          <w:sz w:val="20"/>
        </w:rPr>
        <w:t>**Legal Implication:**</w:t>
      </w:r>
    </w:p>
    <w:p>
      <w:pPr>
        <w:spacing w:before="0" w:after="80" w:line="276" w:lineRule="auto"/>
      </w:pPr>
      <w:r>
        <w:rPr>
          <w:rFonts w:ascii="Arial" w:hAnsi="Arial"/>
          <w:color w:val="1E293B"/>
          <w:sz w:val="20"/>
        </w:rPr>
        <w:t>The element of **"command" (juridical subordination)** is the pivotal test. A shareholder acting as an employee must be strictly subordinate to the instructions, supervision, internal policies (Company Regulations/Collective Labor Agreement), and managerial authority of the Board of Directors (*Direksi*).</w:t>
      </w:r>
    </w:p>
    <w:p>
      <w:pPr>
        <w:spacing w:before="0" w:after="80"/>
      </w:pPr>
    </w:p>
    <w:p>
      <w:pPr>
        <w:spacing w:before="160" w:after="80" w:line="276" w:lineRule="auto"/>
      </w:pPr>
      <w:r>
        <w:rPr>
          <w:rFonts w:ascii="Arial" w:hAnsi="Arial"/>
          <w:b/>
          <w:color w:val="0F172A"/>
          <w:sz w:val="21"/>
        </w:rPr>
        <w:t>##### B. Corporate Legal Regime (Capacity as a Shareholder)</w:t>
      </w:r>
    </w:p>
    <w:p>
      <w:pPr>
        <w:spacing w:before="0" w:after="80" w:line="276" w:lineRule="auto"/>
      </w:pPr>
      <w:r>
        <w:rPr>
          <w:rFonts w:ascii="Arial" w:hAnsi="Arial"/>
          <w:color w:val="1E293B"/>
          <w:sz w:val="20"/>
        </w:rPr>
        <w:t>* **Article 3 paragraph (1) of Law No. 40/2007:**</w:t>
      </w:r>
    </w:p>
    <w:p>
      <w:pPr>
        <w:spacing w:before="0" w:after="80" w:line="276" w:lineRule="auto"/>
      </w:pPr>
      <w:r>
        <w:rPr>
          <w:rFonts w:ascii="Arial" w:hAnsi="Arial"/>
          <w:color w:val="1E293B"/>
          <w:sz w:val="20"/>
        </w:rPr>
        <w:t xml:space="preserve">  &gt; *"The shareholders of a Company shall not be personally liable for agreements entered into on behalf of the Company and shall not be liable for the Company's losses exceeding the value of their shares."*</w:t>
      </w:r>
    </w:p>
    <w:p>
      <w:pPr>
        <w:spacing w:before="0" w:after="80" w:line="276" w:lineRule="auto"/>
      </w:pPr>
      <w:r>
        <w:rPr>
          <w:rFonts w:ascii="Arial" w:hAnsi="Arial"/>
          <w:color w:val="1E293B"/>
          <w:sz w:val="20"/>
        </w:rPr>
        <w:t>* **Article 52 paragraph (1) of Law No. 40/2007:**</w:t>
      </w:r>
    </w:p>
    <w:p>
      <w:pPr>
        <w:spacing w:before="0" w:after="80" w:line="276" w:lineRule="auto"/>
      </w:pPr>
      <w:r>
        <w:rPr>
          <w:rFonts w:ascii="Arial" w:hAnsi="Arial"/>
          <w:color w:val="1E293B"/>
          <w:sz w:val="20"/>
        </w:rPr>
        <w:t xml:space="preserve">  Governs property and proprietary rights of shareholders, including rights to attend and vote at the General Meeting of Shareholders (GMS), receive dividends and liquidation surplus, and exercise statutory corporate rights.</w:t>
      </w:r>
    </w:p>
    <w:p>
      <w:pPr>
        <w:spacing w:before="0" w:after="80"/>
      </w:pPr>
    </w:p>
    <w:p>
      <w:pPr>
        <w:spacing w:before="0" w:after="80" w:line="276" w:lineRule="auto"/>
      </w:pPr>
      <w:r>
        <w:rPr>
          <w:rFonts w:ascii="Arial" w:hAnsi="Arial"/>
          <w:color w:val="1E293B"/>
          <w:sz w:val="20"/>
        </w:rPr>
        <w:t>These two legal standings remain completely distinct: labor/employment disputes are adjudicated before the Industrial Relations Court (PHI), whereas corporate disputes are resolved under standard civil procedures and ordinary courts.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3. Qualifications, Exceptions, and Corporate Directorship</w:t>
      </w:r>
    </w:p>
    <w:p>
      <w:pPr>
        <w:spacing w:before="0" w:after="80"/>
      </w:pPr>
    </w:p>
    <w:p>
      <w:pPr>
        <w:spacing w:before="0" w:after="80" w:line="276" w:lineRule="auto"/>
      </w:pPr>
      <w:r>
        <w:rPr>
          <w:rFonts w:ascii="Arial" w:hAnsi="Arial"/>
          <w:color w:val="1E293B"/>
          <w:sz w:val="20"/>
        </w:rPr>
        <w:t>1. **Shareholder Serving on the Board of Directors:**</w:t>
      </w:r>
    </w:p>
    <w:p>
      <w:pPr>
        <w:spacing w:before="0" w:after="80" w:line="276" w:lineRule="auto"/>
      </w:pPr>
      <w:r>
        <w:rPr>
          <w:rFonts w:ascii="Arial" w:hAnsi="Arial"/>
          <w:color w:val="1E293B"/>
          <w:sz w:val="20"/>
        </w:rPr>
        <w:t xml:space="preserve">   If a shareholder is appointed to the Board of Directors by the GMS (Article 94 of the Company Law), Supreme Court jurisprudence (e.g., *Supreme Court Decision No. 515 K/Pdt.Sus-PHI/2020*) affirms that the relationship between a Director and the Company is that of a corporate organ (*organ perseroan*), not an employer-employee relationship under labor law. Consequently, Directors do not benefit from statutory severance protections or dispute mechanisms under the Manpower Law; they are governed entirely by the Company Law and Articles of Association.</w:t>
      </w:r>
    </w:p>
    <w:p>
      <w:pPr>
        <w:spacing w:before="0" w:after="80" w:line="276" w:lineRule="auto"/>
      </w:pPr>
      <w:r>
        <w:rPr>
          <w:rFonts w:ascii="Arial" w:hAnsi="Arial"/>
          <w:color w:val="1E293B"/>
          <w:sz w:val="20"/>
        </w:rPr>
        <w:t>2. **Sole or Absolute Controlling Shareholder:**</w:t>
      </w:r>
    </w:p>
    <w:p>
      <w:pPr>
        <w:spacing w:before="0" w:after="80" w:line="276" w:lineRule="auto"/>
      </w:pPr>
      <w:r>
        <w:rPr>
          <w:rFonts w:ascii="Arial" w:hAnsi="Arial"/>
          <w:color w:val="1E293B"/>
          <w:sz w:val="20"/>
        </w:rPr>
        <w:t xml:space="preserve">   If an individual owns 100% (or absolute majority control) of the shares and acts as the sole director, the element of legal subordination (*command/order*) ceases to exist in substance. Without an independent superior to issue commands, a bona fide employment relationship cannot legally subsist.</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4. Tax Implications (*Transfer Pricing* &amp; Disguised Dividends)</w:t>
      </w:r>
    </w:p>
    <w:p>
      <w:pPr>
        <w:spacing w:before="0" w:after="80" w:line="276" w:lineRule="auto"/>
      </w:pPr>
      <w:r>
        <w:rPr>
          <w:rFonts w:ascii="Arial" w:hAnsi="Arial"/>
          <w:color w:val="1E293B"/>
          <w:sz w:val="20"/>
        </w:rPr>
        <w:t>Pursuant to the Income Tax Law (Law No. 7 of 1983 as amended by Law No. 7 of 2021 on the Harmonization of Tax Regulations / **HPP Law**):</w:t>
      </w:r>
    </w:p>
    <w:p>
      <w:pPr>
        <w:spacing w:before="0" w:after="80" w:line="276" w:lineRule="auto"/>
      </w:pPr>
      <w:r>
        <w:rPr>
          <w:rFonts w:ascii="Arial" w:hAnsi="Arial"/>
          <w:color w:val="1E293B"/>
          <w:sz w:val="20"/>
        </w:rPr>
        <w:t>* **Special Relationship / Affiliation (Article 18 paragraph (4) of the Income Tax Law):** An affiliated relationship exists between a shareholder and the company if share ownership reaches 25% or more.</w:t>
      </w:r>
    </w:p>
    <w:p>
      <w:pPr>
        <w:spacing w:before="0" w:after="80" w:line="276" w:lineRule="auto"/>
      </w:pPr>
      <w:r>
        <w:rPr>
          <w:rFonts w:ascii="Arial" w:hAnsi="Arial"/>
          <w:color w:val="1E293B"/>
          <w:sz w:val="20"/>
        </w:rPr>
        <w:t>* **Disguised Dividends (Article 9 paragraph (1) letter f of the Income Tax Law):** Any remuneration or salary paid to an employed shareholder must comply with the **Arm's Length Principle**. If the salary paid exceeds the fair market value of the services rendered, the excess amount is subject to fiscal correction by the Directorate General of Taxes (DGT) and recharacterized as a disguised dividend (*dividen terselubung*), triggering corporate tax adjustments and applicable dividend withholding taxes.</w:t>
      </w:r>
    </w:p>
    <w:p>
      <w:pPr>
        <w:spacing w:before="0" w:after="80"/>
      </w:pPr>
    </w:p>
    <w:p>
      <w:pPr>
        <w:spacing w:before="0" w:after="80" w:line="276" w:lineRule="auto"/>
      </w:pPr>
      <w:r>
        <w:rPr>
          <w:rFonts w:ascii="Arial" w:hAnsi="Arial"/>
          <w:color w:val="1E293B"/>
          <w:sz w:val="20"/>
        </w:rPr>
        <w:t>---</w:t>
      </w:r>
    </w:p>
    <w:p>
      <w:pPr>
        <w:spacing w:before="0" w:after="80"/>
      </w:pPr>
    </w:p>
    <w:p>
      <w:pPr>
        <w:spacing w:before="160" w:after="80" w:line="276" w:lineRule="auto"/>
      </w:pPr>
      <w:r>
        <w:rPr>
          <w:rFonts w:ascii="Arial" w:hAnsi="Arial"/>
          <w:b/>
          <w:color w:val="0F172A"/>
          <w:sz w:val="21"/>
        </w:rPr>
        <w:t>#### 5. Practical Compliance Guidelines</w:t>
      </w:r>
    </w:p>
    <w:p>
      <w:pPr>
        <w:spacing w:before="0" w:after="80" w:line="276" w:lineRule="auto"/>
      </w:pPr>
      <w:r>
        <w:rPr>
          <w:rFonts w:ascii="Arial" w:hAnsi="Arial"/>
          <w:color w:val="1E293B"/>
          <w:sz w:val="20"/>
        </w:rPr>
        <w:t>1. **Execute an Independent Employment Contract:** Draft a formal Fixed-Term (PKWT) or Indefinite-Term (PKWTT) Employment Agreement independent of shareholding documents.</w:t>
      </w:r>
    </w:p>
    <w:p>
      <w:pPr>
        <w:spacing w:before="0" w:after="80" w:line="276" w:lineRule="auto"/>
      </w:pPr>
      <w:r>
        <w:rPr>
          <w:rFonts w:ascii="Arial" w:hAnsi="Arial"/>
          <w:color w:val="1E293B"/>
          <w:sz w:val="20"/>
        </w:rPr>
        <w:t>2. **Objective Job Scope and Line of Command:** Define a concrete Job Description and KPIs subject to reporting lines under the Board of Directors or functional operational managers.</w:t>
      </w:r>
    </w:p>
    <w:p>
      <w:pPr>
        <w:spacing w:before="0" w:after="80" w:line="276" w:lineRule="auto"/>
      </w:pPr>
      <w:r>
        <w:rPr>
          <w:rFonts w:ascii="Arial" w:hAnsi="Arial"/>
          <w:color w:val="1E293B"/>
          <w:sz w:val="20"/>
        </w:rPr>
        <w:t>3. **Payroll &amp; Income Tax Withholding (PPh 21):** Treat remuneration as operational labor expenses, deduct Article 21 Income Tax (PPh 21), and ensure the salary strictly aligns with fair market remuneration for equivalent roles.</w:t>
      </w:r>
    </w:p>
    <w:p>
      <w:pPr>
        <w:spacing w:before="0" w:after="80" w:line="276" w:lineRule="auto"/>
      </w:pPr>
      <w:r>
        <w:rPr>
          <w:rFonts w:ascii="Arial" w:hAnsi="Arial"/>
          <w:color w:val="1E293B"/>
          <w:sz w:val="20"/>
        </w:rPr>
        <w:t>4. **Mandatory Social Security Registration:** Enroll the shareholder-employee in the state-mandated social security schemes (BPJS Ketenagakerjaan and BPJS Kesehatan) identically to standard staff.</w:t>
      </w:r>
    </w:p>
    <w:p>
      <w:pPr>
        <w:spacing w:before="400" w:after="0"/>
      </w:pPr>
      <w:r>
        <w:rPr>
          <w:rFonts w:ascii="Arial" w:hAnsi="Arial"/>
          <w:i/>
          <w:color w:val="94A3B8"/>
          <w:sz w:val="16"/>
        </w:rPr>
        <w:t>Disclaimer: Generated by hukum.live for educational and statutory guidance purposes.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