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1243"</w:t>
      </w:r>
    </w:p>
    <w:p>
      <w:pPr>
        <w:spacing w:before="0" w:after="360"/>
        <w:jc w:val="center"/>
      </w:pPr>
      <w:r>
        <w:rPr>
          <w:rFonts w:ascii="Arial" w:hAnsi="Arial"/>
          <w:color w:val="64748B"/>
          <w:sz w:val="17"/>
        </w:rPr>
        <w:t>CATEGORY: CIVIL &amp; CRIMINAL CODE UPDATES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Ganti Rugi Akibat Wanprestasi / Cidera Janji</w:t>
      </w:r>
    </w:p>
    <w:p>
      <w:pPr>
        <w:spacing w:before="0" w:after="80"/>
      </w:pPr>
    </w:p>
    <w:p>
      <w:pPr>
        <w:spacing w:before="0" w:after="80" w:line="276" w:lineRule="auto"/>
      </w:pPr>
      <w:r>
        <w:rPr>
          <w:rFonts w:ascii="Arial" w:hAnsi="Arial"/>
          <w:color w:val="1E293B"/>
          <w:sz w:val="20"/>
        </w:rPr>
        <w:t>Penggantian biaya, kerugian dan bunga karena tak dipenuhinya suatu perikatan mulai diwajibkan, bila debitur, walaupun telah dinyatakan lalai, tetap lalai untuk memenuhi perikatan itu, atau jika sesuatu yang harus diberikan atau dibuatnya hanya dapat diberikan atau dibuat dalam tenggang waktu yang telah dilampaukannya.</w:t>
      </w:r>
    </w:p>
    <w:p>
      <w:pPr>
        <w:spacing w:before="0" w:after="80"/>
      </w:pPr>
    </w:p>
    <w:p>
      <w:pPr>
        <w:spacing w:before="0" w:after="80" w:line="276" w:lineRule="auto"/>
      </w:pPr>
      <w:r>
        <w:rPr>
          <w:rFonts w:ascii="Arial" w:hAnsi="Arial"/>
          <w:color w:val="1E293B"/>
          <w:sz w:val="20"/>
        </w:rPr>
        <w:t>**Analisis &amp; Ringkasan Hukum:**</w:t>
      </w:r>
    </w:p>
    <w:p>
      <w:pPr>
        <w:spacing w:before="0" w:after="80" w:line="276" w:lineRule="auto"/>
      </w:pPr>
      <w:r>
        <w:rPr>
          <w:rFonts w:ascii="Arial" w:hAnsi="Arial"/>
          <w:color w:val="1E293B"/>
          <w:sz w:val="20"/>
        </w:rPr>
        <w:t>Landasan fundamental hukum perdata dan kontrak di Indonesia. Mengatur empat syarat sahnya perjanjian (Pasal 1320), asas kebebasan berkontrak dan pacta sunt servanda (Pasal 1338), wanprestasi (Pasal 1243), dan perbuatan melawan hukum (Pasal 1365).</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Damages and Compensation for Contractual Default</w:t>
      </w:r>
    </w:p>
    <w:p>
      <w:pPr>
        <w:spacing w:before="0" w:after="80"/>
      </w:pPr>
    </w:p>
    <w:p>
      <w:pPr>
        <w:spacing w:before="0" w:after="80" w:line="276" w:lineRule="auto"/>
      </w:pPr>
      <w:r>
        <w:rPr>
          <w:rFonts w:ascii="Arial" w:hAnsi="Arial"/>
          <w:color w:val="1E293B"/>
          <w:sz w:val="20"/>
        </w:rPr>
        <w:t>Compensation for expenses, damages, and interest due to non-fulfillment of an obligation becomes mandatory when the debtor, despite formal notice of default (somasi), remains in breach, or if the performance was subject to a time limit that has expired.</w:t>
      </w:r>
    </w:p>
    <w:p>
      <w:pPr>
        <w:spacing w:before="0" w:after="80"/>
      </w:pPr>
    </w:p>
    <w:p>
      <w:pPr>
        <w:spacing w:before="0" w:after="80" w:line="276" w:lineRule="auto"/>
      </w:pPr>
      <w:r>
        <w:rPr>
          <w:rFonts w:ascii="Arial" w:hAnsi="Arial"/>
          <w:color w:val="1E293B"/>
          <w:sz w:val="20"/>
        </w:rPr>
        <w:t>**Legal Analysis &amp; Summary:**</w:t>
      </w:r>
    </w:p>
    <w:p>
      <w:pPr>
        <w:spacing w:before="0" w:after="80" w:line="276" w:lineRule="auto"/>
      </w:pPr>
      <w:r>
        <w:rPr>
          <w:rFonts w:ascii="Arial" w:hAnsi="Arial"/>
          <w:color w:val="1E293B"/>
          <w:sz w:val="20"/>
        </w:rPr>
        <w:t>The foundational statutory pillar of Indonesian contract and obligations law. Establishes the four mandatory validity requirements of agreements (Article 1320), pacta sunt servanda and good faith enforcement (Article 1338), contractual default remedies (Article 1243), and tortious liability / PMH (Article 1365).</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