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1320 KUHPerdata"</w:t>
      </w:r>
    </w:p>
    <w:p>
      <w:pPr>
        <w:spacing w:before="0" w:after="360"/>
        <w:jc w:val="center"/>
      </w:pPr>
      <w:r>
        <w:rPr>
          <w:rFonts w:ascii="Arial" w:hAnsi="Arial"/>
          <w:color w:val="64748B"/>
          <w:sz w:val="17"/>
        </w:rPr>
        <w:t>CATEGORY: CORPORATE &amp; INVESTMENT | DUAL LANGUAGE: ID ↔ ENGLISH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Otentik Statuter: Pasal 1320 Kitab Undang-Undang Hukum Perdata (KUHPerdata / Burgerlijk Wetboek)</w:t>
      </w:r>
    </w:p>
    <w:p>
      <w:pPr>
        <w:spacing w:before="0" w:after="80" w:line="276" w:lineRule="auto"/>
      </w:pPr>
      <w:r>
        <w:rPr>
          <w:rFonts w:ascii="Arial" w:hAnsi="Arial"/>
          <w:color w:val="1E293B"/>
          <w:sz w:val="20"/>
        </w:rPr>
        <w:t>Pasal 1320 KUHPerdata mengatur fondasi hukum mengenai syarat sahnya suatu perjanjian:</w:t>
      </w:r>
    </w:p>
    <w:p>
      <w:pPr>
        <w:spacing w:before="0" w:after="80"/>
      </w:pP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Dekomposisi Doktrinal: Unsur Subjektif vs. Unsur Objektif</w:t>
      </w:r>
    </w:p>
    <w:p>
      <w:pPr>
        <w:spacing w:before="0" w:after="80"/>
      </w:pPr>
    </w:p>
    <w:p>
      <w:pPr>
        <w:spacing w:before="0" w:after="80" w:line="276" w:lineRule="auto"/>
      </w:pPr>
      <w:r>
        <w:rPr>
          <w:rFonts w:ascii="Arial" w:hAnsi="Arial"/>
          <w:color w:val="1E293B"/>
          <w:sz w:val="20"/>
        </w:rPr>
        <w:t>Doktrin hukum perdata Indonesia mengklasifikasikan empat syarat tersebut ke dalam dua kategori yuridis:</w:t>
      </w:r>
    </w:p>
    <w:p>
      <w:pPr>
        <w:spacing w:before="0" w:after="80"/>
      </w:pPr>
    </w:p>
    <w:p>
      <w:pPr>
        <w:spacing w:before="160" w:after="80" w:line="276" w:lineRule="auto"/>
      </w:pPr>
      <w:r>
        <w:rPr>
          <w:rFonts w:ascii="Arial" w:hAnsi="Arial"/>
          <w:b/>
          <w:color w:val="0F172A"/>
          <w:sz w:val="21"/>
        </w:rPr>
        <w:t>##### A. Syarat Subjektif (Menyangkut Para Pihak yang Mengadakan Kontrak)</w:t>
      </w:r>
    </w:p>
    <w:p>
      <w:pPr>
        <w:spacing w:before="0" w:after="80" w:line="276" w:lineRule="auto"/>
      </w:pPr>
      <w:r>
        <w:rPr>
          <w:rFonts w:ascii="Arial" w:hAnsi="Arial"/>
          <w:color w:val="1E293B"/>
          <w:sz w:val="20"/>
        </w:rPr>
        <w:t>1. **Kesepakatan Para Pihak (*Consensus / Toestemming* - Angka 1):**</w:t>
      </w:r>
    </w:p>
    <w:p>
      <w:pPr>
        <w:spacing w:before="0" w:after="80" w:line="276" w:lineRule="auto"/>
      </w:pPr>
      <w:r>
        <w:rPr>
          <w:rFonts w:ascii="Arial" w:hAnsi="Arial"/>
          <w:color w:val="1E293B"/>
          <w:sz w:val="20"/>
        </w:rPr>
        <w:t xml:space="preserve">   * Persesuaian kehendak secara bebas antara para pihak (*consensus ad idem*).</w:t>
      </w:r>
    </w:p>
    <w:p>
      <w:pPr>
        <w:spacing w:before="0" w:after="80" w:line="276" w:lineRule="auto"/>
      </w:pPr>
      <w:r>
        <w:rPr>
          <w:rFonts w:ascii="Arial" w:hAnsi="Arial"/>
          <w:color w:val="1E293B"/>
          <w:sz w:val="20"/>
        </w:rPr>
        <w:t xml:space="preserve">   * Kesepakatan dianggap cacat hukum (*wilsgebreken*) apabila diberikan atas dasar kekhilafan/kesesatan (*dwaling*), paksaan (*dwang*), atau penipuan (*bedrog*) sebagaimana diatur dalam Pasal 1321 s.d. Pasal 1328 KUHPerdata, serta doktrin penyalahgunaan keadaan (*misbruik van omstandigheden*).</w:t>
      </w:r>
    </w:p>
    <w:p>
      <w:pPr>
        <w:spacing w:before="0" w:after="80" w:line="276" w:lineRule="auto"/>
      </w:pPr>
      <w:r>
        <w:rPr>
          <w:rFonts w:ascii="Arial" w:hAnsi="Arial"/>
          <w:color w:val="1E293B"/>
          <w:sz w:val="20"/>
        </w:rPr>
        <w:t>2. **Kecakapan Bertindak menurut Hukum (*Bekwaamheid* - Angka 2):**</w:t>
      </w:r>
    </w:p>
    <w:p>
      <w:pPr>
        <w:spacing w:before="0" w:after="80" w:line="276" w:lineRule="auto"/>
      </w:pPr>
      <w:r>
        <w:rPr>
          <w:rFonts w:ascii="Arial" w:hAnsi="Arial"/>
          <w:color w:val="1E293B"/>
          <w:sz w:val="20"/>
        </w:rPr>
        <w:t xml:space="preserve">   * Merupakan kewenangan hukum subjek hukum untuk melakukan perbuatan hukum yang mengikat.</w:t>
      </w:r>
    </w:p>
    <w:p>
      <w:pPr>
        <w:spacing w:before="0" w:after="80" w:line="276" w:lineRule="auto"/>
      </w:pPr>
      <w:r>
        <w:rPr>
          <w:rFonts w:ascii="Arial" w:hAnsi="Arial"/>
          <w:color w:val="1E293B"/>
          <w:sz w:val="20"/>
        </w:rPr>
        <w:t xml:space="preserve">   * Merujuk pada Pasal 1330 KUHPerdata, subjek hukum yang dinyatakan tidak cakap meliputi:</w:t>
      </w:r>
    </w:p>
    <w:p>
      <w:pPr>
        <w:spacing w:before="0" w:after="80" w:line="276" w:lineRule="auto"/>
      </w:pPr>
      <w:r>
        <w:rPr>
          <w:rFonts w:ascii="Arial" w:hAnsi="Arial"/>
          <w:color w:val="1E293B"/>
          <w:sz w:val="20"/>
        </w:rPr>
        <w:t xml:space="preserve">     * Anak di bawah umur (belum dewasa, dikorelasikan dengan batas usia kecakapan berdasarkan UU No. 30/2004 jo. UU No. 2/2014 tentang Jabatan Notaris [21 tahun atau telah kawin] dan UU No. 1/1974 jo. UU No. 16/2019 tentang Perkawinan [19 tahun]);</w:t>
      </w:r>
    </w:p>
    <w:p>
      <w:pPr>
        <w:spacing w:before="0" w:after="80" w:line="276" w:lineRule="auto"/>
      </w:pPr>
      <w:r>
        <w:rPr>
          <w:rFonts w:ascii="Arial" w:hAnsi="Arial"/>
          <w:color w:val="1E293B"/>
          <w:sz w:val="20"/>
        </w:rPr>
        <w:t xml:space="preserve">     * Orang yang ditaruh di bawah pengampuan (*curatele*);</w:t>
      </w:r>
    </w:p>
    <w:p>
      <w:pPr>
        <w:spacing w:before="0" w:after="80" w:line="276" w:lineRule="auto"/>
      </w:pPr>
      <w:r>
        <w:rPr>
          <w:rFonts w:ascii="Arial" w:hAnsi="Arial"/>
          <w:color w:val="1E293B"/>
          <w:sz w:val="20"/>
        </w:rPr>
        <w:t xml:space="preserve">     * Orang-orang yang dilarang undang-undang untuk membuat perjanjian tertentu.</w:t>
      </w:r>
    </w:p>
    <w:p>
      <w:pPr>
        <w:spacing w:before="0" w:after="80"/>
      </w:pPr>
    </w:p>
    <w:p>
      <w:pPr>
        <w:spacing w:before="160" w:after="80" w:line="276" w:lineRule="auto"/>
      </w:pPr>
      <w:r>
        <w:rPr>
          <w:rFonts w:ascii="Arial" w:hAnsi="Arial"/>
          <w:b/>
          <w:color w:val="0F172A"/>
          <w:sz w:val="21"/>
        </w:rPr>
        <w:t>##### B. Syarat Objektif (Menyangkut Objek dan Isi Kontrak)</w:t>
      </w:r>
    </w:p>
    <w:p>
      <w:pPr>
        <w:spacing w:before="0" w:after="80" w:line="276" w:lineRule="auto"/>
      </w:pPr>
      <w:r>
        <w:rPr>
          <w:rFonts w:ascii="Arial" w:hAnsi="Arial"/>
          <w:color w:val="1E293B"/>
          <w:sz w:val="20"/>
        </w:rPr>
        <w:t>3. **Suatu Pokok Persoalan Tertentu (*Bepaald Onderwerp* - Angka 3):**</w:t>
      </w:r>
    </w:p>
    <w:p>
      <w:pPr>
        <w:spacing w:before="0" w:after="80" w:line="276" w:lineRule="auto"/>
      </w:pPr>
      <w:r>
        <w:rPr>
          <w:rFonts w:ascii="Arial" w:hAnsi="Arial"/>
          <w:color w:val="1E293B"/>
          <w:sz w:val="20"/>
        </w:rPr>
        <w:t xml:space="preserve">   * Objek perikatan harus dapat ditentukan jenisnya dan dapat diperdagangkan (Pasal 1332 dan 1333 KUHPerdata).</w:t>
      </w:r>
    </w:p>
    <w:p>
      <w:pPr>
        <w:spacing w:before="0" w:after="80" w:line="276" w:lineRule="auto"/>
      </w:pPr>
      <w:r>
        <w:rPr>
          <w:rFonts w:ascii="Arial" w:hAnsi="Arial"/>
          <w:color w:val="1E293B"/>
          <w:sz w:val="20"/>
        </w:rPr>
        <w:t xml:space="preserve">   * Jumlahnya boleh belum pasti pada saat kontrak dibuat, asalkan kemudian dapat dihitung atau ditentukan secara pasti.</w:t>
      </w:r>
    </w:p>
    <w:p>
      <w:pPr>
        <w:spacing w:before="0" w:after="80" w:line="276" w:lineRule="auto"/>
      </w:pPr>
      <w:r>
        <w:rPr>
          <w:rFonts w:ascii="Arial" w:hAnsi="Arial"/>
          <w:color w:val="1E293B"/>
          <w:sz w:val="20"/>
        </w:rPr>
        <w:t>4. **Sebab yang Tidak Terlarang (*Geoorloofde Oorzaak* - Angka 4):**</w:t>
      </w:r>
    </w:p>
    <w:p>
      <w:pPr>
        <w:spacing w:before="0" w:after="80" w:line="276" w:lineRule="auto"/>
      </w:pPr>
      <w:r>
        <w:rPr>
          <w:rFonts w:ascii="Arial" w:hAnsi="Arial"/>
          <w:color w:val="1E293B"/>
          <w:sz w:val="20"/>
        </w:rPr>
        <w:t xml:space="preserve">   * Alasan hukum atau tujuan objektif dibuatnya kontrak (*causa*) tidak boleh bertentangan dengan undang-undang yang bersifat memaksa (*dwingend recht*), kesusilaan yang baik (*goede zeden*), atau ketertiban umum (*openbare orde*) (Pasal 1335 dan Pasal 1337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Konsekuensi Yuridis Pelanggaran Syarat Keabsahan</w:t>
      </w:r>
    </w:p>
    <w:p>
      <w:pPr>
        <w:spacing w:before="0" w:after="80"/>
      </w:pPr>
    </w:p>
    <w:p>
      <w:pPr>
        <w:spacing w:before="0" w:after="80" w:line="276" w:lineRule="auto"/>
      </w:pPr>
      <w:r>
        <w:rPr>
          <w:rFonts w:ascii="Arial" w:hAnsi="Arial"/>
          <w:color w:val="1E293B"/>
          <w:sz w:val="20"/>
        </w:rPr>
        <w:t>1. **Pelanggaran Syarat Subjektif (Angka 1 &amp; 2): Kontrak Dapat Dibatalkan (*Vernietigbaar / Voidable*)**</w:t>
      </w:r>
    </w:p>
    <w:p>
      <w:pPr>
        <w:spacing w:before="0" w:after="80" w:line="276" w:lineRule="auto"/>
      </w:pPr>
      <w:r>
        <w:rPr>
          <w:rFonts w:ascii="Arial" w:hAnsi="Arial"/>
          <w:color w:val="1E293B"/>
          <w:sz w:val="20"/>
        </w:rPr>
        <w:t xml:space="preserve">   * Kontrak tetap berlaku mengikat secara sah dan menimbulkan hak serta kewajiban bagi para pihak selama belum dibatalkan oleh Hakim Pengadilan.</w:t>
      </w:r>
    </w:p>
    <w:p>
      <w:pPr>
        <w:spacing w:before="0" w:after="80" w:line="276" w:lineRule="auto"/>
      </w:pPr>
      <w:r>
        <w:rPr>
          <w:rFonts w:ascii="Arial" w:hAnsi="Arial"/>
          <w:color w:val="1E293B"/>
          <w:sz w:val="20"/>
        </w:rPr>
        <w:t xml:space="preserve">   * Pembatalan hanya dapat dimintakan oleh pihak yang tidak cakap (atau walinya/pengampunya) atau pihak yang kesepakatannya mengandung cacat kehendak, dengan jangka waktu kedaluwarsa tuntutan pembatalan 5 (lima) tahun (Pasal 1454 KUHPerdata).</w:t>
      </w:r>
    </w:p>
    <w:p>
      <w:pPr>
        <w:spacing w:before="0" w:after="80" w:line="276" w:lineRule="auto"/>
      </w:pPr>
      <w:r>
        <w:rPr>
          <w:rFonts w:ascii="Arial" w:hAnsi="Arial"/>
          <w:color w:val="1E293B"/>
          <w:sz w:val="20"/>
        </w:rPr>
        <w:t>2. **Pelanggaran Syarat Objektif (Angka 3 &amp; 4): Kontrak Batal Demi Hukum (*Nietig / Void ab Initio*)**</w:t>
      </w:r>
    </w:p>
    <w:p>
      <w:pPr>
        <w:spacing w:before="0" w:after="80" w:line="276" w:lineRule="auto"/>
      </w:pPr>
      <w:r>
        <w:rPr>
          <w:rFonts w:ascii="Arial" w:hAnsi="Arial"/>
          <w:color w:val="1E293B"/>
          <w:sz w:val="20"/>
        </w:rPr>
        <w:t xml:space="preserve">   * Kontrak dianggap tidak pernah ada sejak awal perbuatannya (*null and void*).</w:t>
      </w:r>
    </w:p>
    <w:p>
      <w:pPr>
        <w:spacing w:before="0" w:after="80" w:line="276" w:lineRule="auto"/>
      </w:pPr>
      <w:r>
        <w:rPr>
          <w:rFonts w:ascii="Arial" w:hAnsi="Arial"/>
          <w:color w:val="1E293B"/>
          <w:sz w:val="20"/>
        </w:rPr>
        <w:t xml:space="preserve">   * Tidak memiliki kekuatan hukum mengikat bagi siapa pun. Hakim berwenang menjatuhkan putusan deklaratif bahwa kontrak batal demi hukum secara *ex officio* (karena jabatannya) tanpa perlu adanya permohonan pembatalan dari para pihak.</w:t>
      </w:r>
    </w:p>
    <w:p>
      <w:pPr>
        <w:spacing w:before="0" w:after="80" w:line="276" w:lineRule="auto"/>
      </w:pPr>
      <w:r>
        <w:rPr>
          <w:rFonts w:ascii="Arial" w:hAnsi="Arial"/>
          <w:color w:val="1E293B"/>
          <w:sz w:val="20"/>
        </w:rPr>
        <w:t xml:space="preserve">   * Keadaan para pihak harus dipulihkan ke status semula (*restitutio in integrum*).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Korelasi Statuter Komparatif &amp; Terintegrasi</w:t>
      </w:r>
    </w:p>
    <w:p>
      <w:pPr>
        <w:spacing w:before="0" w:after="80"/>
      </w:pPr>
    </w:p>
    <w:p>
      <w:pPr>
        <w:spacing w:before="0" w:after="80" w:line="276" w:lineRule="auto"/>
      </w:pPr>
      <w:r>
        <w:rPr>
          <w:rFonts w:ascii="Arial" w:hAnsi="Arial"/>
          <w:color w:val="1E293B"/>
          <w:sz w:val="20"/>
        </w:rPr>
        <w:t>* **Pasal 1338 KUHPerdata (Asas Kebebasan Berkontrak &amp; *Pacta Sunt Servanda*):** Kontrak yang dibuat secara sah (memenuhi Pasal 1320 KUHPerdata) berlaku sebagai undang-undang bagi mereka yang membuatnya dan harus dilaksanakan dengan itikad baik (*te goeder trouw*).</w:t>
      </w:r>
    </w:p>
    <w:p>
      <w:pPr>
        <w:spacing w:before="0" w:after="80" w:line="276" w:lineRule="auto"/>
      </w:pPr>
      <w:r>
        <w:rPr>
          <w:rFonts w:ascii="Arial" w:hAnsi="Arial"/>
          <w:color w:val="1E293B"/>
          <w:sz w:val="20"/>
        </w:rPr>
        <w:t>* **UU No. 24 Tahun 2009 (Bendera, Bahasa, dan Lambang Negara serta Lagu Kebangsaan) jo. Perpres No. 63 Tahun 2019:** Kontrak komersial yang melibatkan pihak Indonesia wajib menggunakan Bahasa Indonesia (Pasal 31); pelanggaran terhadap ketentuan ini berisiko mengakibatkan perjanjian batal demi hukum karena melanggar syarat sebab yang halal (kausa yang dilarang undang-undang).</w:t>
      </w:r>
    </w:p>
    <w:p>
      <w:pPr>
        <w:spacing w:before="0" w:after="80" w:line="276" w:lineRule="auto"/>
      </w:pPr>
      <w:r>
        <w:rPr>
          <w:rFonts w:ascii="Arial" w:hAnsi="Arial"/>
          <w:color w:val="1E293B"/>
          <w:sz w:val="20"/>
        </w:rPr>
        <w:t>* **UU No. 11 Tahun 2008 jo. UU No. 1 Tahun 2024 (ITE) &amp; PP No. 71 Tahun 2019 (PSTE):** Kontrak elektronik (*electronic contracts*) sah dan mengikat sepanjang memenuhi persyaratan Pasal 1320 KUHPerdata serta ketentuan khusus keandalan sistem elektronik dan tanda tangan elektronik.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Praktis Kepatuhan &amp; Mitigasi Risiko Legal Drafting</w:t>
      </w:r>
    </w:p>
    <w:p>
      <w:pPr>
        <w:spacing w:before="0" w:after="80"/>
      </w:pPr>
    </w:p>
    <w:p>
      <w:pPr>
        <w:spacing w:before="0" w:after="80" w:line="276" w:lineRule="auto"/>
      </w:pPr>
      <w:r>
        <w:rPr>
          <w:rFonts w:ascii="Arial" w:hAnsi="Arial"/>
          <w:color w:val="1E293B"/>
          <w:sz w:val="20"/>
        </w:rPr>
        <w:t>1. **Uji Tuntas Identitas dan Kapasitas (Klausula Komparisi):**</w:t>
      </w:r>
    </w:p>
    <w:p>
      <w:pPr>
        <w:spacing w:before="0" w:after="80" w:line="276" w:lineRule="auto"/>
      </w:pPr>
      <w:r>
        <w:rPr>
          <w:rFonts w:ascii="Arial" w:hAnsi="Arial"/>
          <w:color w:val="1E293B"/>
          <w:sz w:val="20"/>
        </w:rPr>
        <w:t xml:space="preserve">   * Verifikasi usia KTP, penetapan pengampuan, serta anggaran dasar (AD/ART) entitas badan hukum (UU No. 40 Tahun 2007 tentang Perseroan Terbatas) untuk memastikan kewenangan direksi/kuasa dalam menandatangani kontrak.</w:t>
      </w:r>
    </w:p>
    <w:p>
      <w:pPr>
        <w:spacing w:before="0" w:after="80" w:line="276" w:lineRule="auto"/>
      </w:pPr>
      <w:r>
        <w:rPr>
          <w:rFonts w:ascii="Arial" w:hAnsi="Arial"/>
          <w:color w:val="1E293B"/>
          <w:sz w:val="20"/>
        </w:rPr>
        <w:t>2. **Ketiadaan Cacat Kehendak:**</w:t>
      </w:r>
    </w:p>
    <w:p>
      <w:pPr>
        <w:spacing w:before="0" w:after="80" w:line="276" w:lineRule="auto"/>
      </w:pPr>
      <w:r>
        <w:rPr>
          <w:rFonts w:ascii="Arial" w:hAnsi="Arial"/>
          <w:color w:val="1E293B"/>
          <w:sz w:val="20"/>
        </w:rPr>
        <w:t xml:space="preserve">   * Masukkan klausula *Representation and Warranties* yang menyatakan bahwa para pihak menandatangani kontrak atas kehendak bebas sendiri, tanpa paksaan, penipuan, atau kesesatan informasi material.</w:t>
      </w:r>
    </w:p>
    <w:p>
      <w:pPr>
        <w:spacing w:before="0" w:after="80" w:line="276" w:lineRule="auto"/>
      </w:pPr>
      <w:r>
        <w:rPr>
          <w:rFonts w:ascii="Arial" w:hAnsi="Arial"/>
          <w:color w:val="1E293B"/>
          <w:sz w:val="20"/>
        </w:rPr>
        <w:t>3. **Spesifikasi Objek yang Terukur:**</w:t>
      </w:r>
    </w:p>
    <w:p>
      <w:pPr>
        <w:spacing w:before="0" w:after="80" w:line="276" w:lineRule="auto"/>
      </w:pPr>
      <w:r>
        <w:rPr>
          <w:rFonts w:ascii="Arial" w:hAnsi="Arial"/>
          <w:color w:val="1E293B"/>
          <w:sz w:val="20"/>
        </w:rPr>
        <w:t xml:space="preserve">   * Rumuskan ruang lingkup prestasi (*scope of work/deliverables*), kuantitas, harga, dan spesifikasi teknis barang/jasa secara eksplisit pada batang tubuh atau lampiran kontrak guna menghindari ketidakpastian objek (*ambiguity*).</w:t>
      </w:r>
    </w:p>
    <w:p>
      <w:pPr>
        <w:spacing w:before="0" w:after="80" w:line="276" w:lineRule="auto"/>
      </w:pPr>
      <w:r>
        <w:rPr>
          <w:rFonts w:ascii="Arial" w:hAnsi="Arial"/>
          <w:color w:val="1E293B"/>
          <w:sz w:val="20"/>
        </w:rPr>
        <w:t>4. **Kepatuhan terhadap Ketertiban Umum dan Regulasi Positif:**</w:t>
      </w:r>
    </w:p>
    <w:p>
      <w:pPr>
        <w:spacing w:before="0" w:after="80" w:line="276" w:lineRule="auto"/>
      </w:pPr>
      <w:r>
        <w:rPr>
          <w:rFonts w:ascii="Arial" w:hAnsi="Arial"/>
          <w:color w:val="1E293B"/>
          <w:sz w:val="20"/>
        </w:rPr>
        <w:t xml:space="preserve">   * Pastikan substansi transaksi tidak menyelundupkan hukum perizinan, restriksi investasi (*negative investment list* / DNI yang diperbarui ke Daftar Prioritas Investasi pada PP 10/2021 jo. PP 49/2021), atau regulasi anti-monopoli (UU No. 5 Tahun 1999).</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Authentic Statutory Text: Article 1320 of the Indonesian Civil Code (*Kitab Undang-Undang Hukum Perdata / Burgerlijk Wetboek*)</w:t>
      </w:r>
    </w:p>
    <w:p>
      <w:pPr>
        <w:spacing w:before="0" w:after="80" w:line="276" w:lineRule="auto"/>
      </w:pPr>
      <w:r>
        <w:rPr>
          <w:rFonts w:ascii="Arial" w:hAnsi="Arial"/>
          <w:color w:val="1E293B"/>
          <w:sz w:val="20"/>
        </w:rPr>
        <w:t>Article 1320 of the Indonesian Civil Code establishes the core statutory prerequisites for the formal validity of a contract:</w:t>
      </w:r>
    </w:p>
    <w:p>
      <w:pPr>
        <w:spacing w:before="0" w:after="80"/>
      </w:pPr>
    </w:p>
    <w:p>
      <w:pPr>
        <w:spacing w:before="0" w:after="80" w:line="276" w:lineRule="auto"/>
      </w:pPr>
      <w:r>
        <w:rPr>
          <w:rFonts w:ascii="Arial" w:hAnsi="Arial"/>
          <w:color w:val="1E293B"/>
          <w:sz w:val="20"/>
        </w:rPr>
        <w:t>&gt; *"In order to be valid, an agreement must satisfy four conditions:*</w:t>
      </w:r>
    </w:p>
    <w:p>
      <w:pPr>
        <w:spacing w:before="0" w:after="80" w:line="276" w:lineRule="auto"/>
      </w:pPr>
      <w:r>
        <w:rPr>
          <w:rFonts w:ascii="Arial" w:hAnsi="Arial"/>
          <w:color w:val="1E293B"/>
          <w:sz w:val="20"/>
        </w:rPr>
        <w:t>&gt; 1. *the consent of those who bind themselves;*</w:t>
      </w:r>
    </w:p>
    <w:p>
      <w:pPr>
        <w:spacing w:before="0" w:after="80" w:line="276" w:lineRule="auto"/>
      </w:pPr>
      <w:r>
        <w:rPr>
          <w:rFonts w:ascii="Arial" w:hAnsi="Arial"/>
          <w:color w:val="1E293B"/>
          <w:sz w:val="20"/>
        </w:rPr>
        <w:t>&gt; 2. *the capacity to conclude an obligation;*</w:t>
      </w:r>
    </w:p>
    <w:p>
      <w:pPr>
        <w:spacing w:before="0" w:after="80" w:line="276" w:lineRule="auto"/>
      </w:pPr>
      <w:r>
        <w:rPr>
          <w:rFonts w:ascii="Arial" w:hAnsi="Arial"/>
          <w:color w:val="1E293B"/>
          <w:sz w:val="20"/>
        </w:rPr>
        <w:t>&gt; 3. *a specific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Doctrinal Decomposition: Subjective Requirements vs. Objective Requirements</w:t>
      </w:r>
    </w:p>
    <w:p>
      <w:pPr>
        <w:spacing w:before="0" w:after="80"/>
      </w:pPr>
    </w:p>
    <w:p>
      <w:pPr>
        <w:spacing w:before="0" w:after="80" w:line="276" w:lineRule="auto"/>
      </w:pPr>
      <w:r>
        <w:rPr>
          <w:rFonts w:ascii="Arial" w:hAnsi="Arial"/>
          <w:color w:val="1E293B"/>
          <w:sz w:val="20"/>
        </w:rPr>
        <w:t>Indonesian civil law doctrine categorizes these four requirements into two distinct legal classes:</w:t>
      </w:r>
    </w:p>
    <w:p>
      <w:pPr>
        <w:spacing w:before="0" w:after="80"/>
      </w:pPr>
    </w:p>
    <w:p>
      <w:pPr>
        <w:spacing w:before="160" w:after="80" w:line="276" w:lineRule="auto"/>
      </w:pPr>
      <w:r>
        <w:rPr>
          <w:rFonts w:ascii="Arial" w:hAnsi="Arial"/>
          <w:b/>
          <w:color w:val="0F172A"/>
          <w:sz w:val="21"/>
        </w:rPr>
        <w:t>##### A. Subjective Requirements (Pertaining to the Contracting Parties)</w:t>
      </w:r>
    </w:p>
    <w:p>
      <w:pPr>
        <w:spacing w:before="0" w:after="80" w:line="276" w:lineRule="auto"/>
      </w:pPr>
      <w:r>
        <w:rPr>
          <w:rFonts w:ascii="Arial" w:hAnsi="Arial"/>
          <w:color w:val="1E293B"/>
          <w:sz w:val="20"/>
        </w:rPr>
        <w:t>1. **Consent of the Parties (*Consensus / Toestemming* - Paragraph 1):**</w:t>
      </w:r>
    </w:p>
    <w:p>
      <w:pPr>
        <w:spacing w:before="0" w:after="80" w:line="276" w:lineRule="auto"/>
      </w:pPr>
      <w:r>
        <w:rPr>
          <w:rFonts w:ascii="Arial" w:hAnsi="Arial"/>
          <w:color w:val="1E293B"/>
          <w:sz w:val="20"/>
        </w:rPr>
        <w:t xml:space="preserve">   * Requires a mutual, free, and genuine meeting of the minds (*consensus ad idem*).</w:t>
      </w:r>
    </w:p>
    <w:p>
      <w:pPr>
        <w:spacing w:before="0" w:after="80" w:line="276" w:lineRule="auto"/>
      </w:pPr>
      <w:r>
        <w:rPr>
          <w:rFonts w:ascii="Arial" w:hAnsi="Arial"/>
          <w:color w:val="1E293B"/>
          <w:sz w:val="20"/>
        </w:rPr>
        <w:t xml:space="preserve">   * Consent is legally defective (*vices of consent / wilsgebreken*) if procured through mistake/error (*dwaling*), duress/coercion (*dwang*), or fraud (*bedrog*) as governed under Articles 1321 through 1328 of the Civil Code, as well as the equitable doctrine of abuse of circumstances (*misbruik van omstandigheden*).</w:t>
      </w:r>
    </w:p>
    <w:p>
      <w:pPr>
        <w:spacing w:before="0" w:after="80" w:line="276" w:lineRule="auto"/>
      </w:pPr>
      <w:r>
        <w:rPr>
          <w:rFonts w:ascii="Arial" w:hAnsi="Arial"/>
          <w:color w:val="1E293B"/>
          <w:sz w:val="20"/>
        </w:rPr>
        <w:t>2. **Legal Capacity to Contract (*Bekwaamheid* - Paragraph 2):**</w:t>
      </w:r>
    </w:p>
    <w:p>
      <w:pPr>
        <w:spacing w:before="0" w:after="80" w:line="276" w:lineRule="auto"/>
      </w:pPr>
      <w:r>
        <w:rPr>
          <w:rFonts w:ascii="Arial" w:hAnsi="Arial"/>
          <w:color w:val="1E293B"/>
          <w:sz w:val="20"/>
        </w:rPr>
        <w:t xml:space="preserve">   * Refers to the legal competence of a party to perform binding legal acts.</w:t>
      </w:r>
    </w:p>
    <w:p>
      <w:pPr>
        <w:spacing w:before="0" w:after="80" w:line="276" w:lineRule="auto"/>
      </w:pPr>
      <w:r>
        <w:rPr>
          <w:rFonts w:ascii="Arial" w:hAnsi="Arial"/>
          <w:color w:val="1E293B"/>
          <w:sz w:val="20"/>
        </w:rPr>
        <w:t xml:space="preserve">   * Pursuant to Article 1330 of the Civil Code, persons lacking legal capacity include:</w:t>
      </w:r>
    </w:p>
    <w:p>
      <w:pPr>
        <w:spacing w:before="0" w:after="80" w:line="276" w:lineRule="auto"/>
      </w:pPr>
      <w:r>
        <w:rPr>
          <w:rFonts w:ascii="Arial" w:hAnsi="Arial"/>
          <w:color w:val="1E293B"/>
          <w:sz w:val="20"/>
        </w:rPr>
        <w:t xml:space="preserve">     * Minors (reconciled with the age of majority under Law No. 30/2004 as amended by Law No. 2/2014 on Notary Publics [21 years or already married] and Law No. 1/1974 as amended by Law No. 16/2019 on Marriage [19 years]);</w:t>
      </w:r>
    </w:p>
    <w:p>
      <w:pPr>
        <w:spacing w:before="0" w:after="80" w:line="276" w:lineRule="auto"/>
      </w:pPr>
      <w:r>
        <w:rPr>
          <w:rFonts w:ascii="Arial" w:hAnsi="Arial"/>
          <w:color w:val="1E293B"/>
          <w:sz w:val="20"/>
        </w:rPr>
        <w:t xml:space="preserve">     * Persons placed under conservatorship/curatorship (*curatele*);</w:t>
      </w:r>
    </w:p>
    <w:p>
      <w:pPr>
        <w:spacing w:before="0" w:after="80" w:line="276" w:lineRule="auto"/>
      </w:pPr>
      <w:r>
        <w:rPr>
          <w:rFonts w:ascii="Arial" w:hAnsi="Arial"/>
          <w:color w:val="1E293B"/>
          <w:sz w:val="20"/>
        </w:rPr>
        <w:t xml:space="preserve">     * Individuals disqualified by statutory provisions from executing certain agreements.</w:t>
      </w:r>
    </w:p>
    <w:p>
      <w:pPr>
        <w:spacing w:before="0" w:after="80"/>
      </w:pPr>
    </w:p>
    <w:p>
      <w:pPr>
        <w:spacing w:before="160" w:after="80" w:line="276" w:lineRule="auto"/>
      </w:pPr>
      <w:r>
        <w:rPr>
          <w:rFonts w:ascii="Arial" w:hAnsi="Arial"/>
          <w:b/>
          <w:color w:val="0F172A"/>
          <w:sz w:val="21"/>
        </w:rPr>
        <w:t>##### B. Objective Requirements (Pertaining to the Subject Matter and Substance of the Contract)</w:t>
      </w:r>
    </w:p>
    <w:p>
      <w:pPr>
        <w:spacing w:before="0" w:after="80" w:line="276" w:lineRule="auto"/>
      </w:pPr>
      <w:r>
        <w:rPr>
          <w:rFonts w:ascii="Arial" w:hAnsi="Arial"/>
          <w:color w:val="1E293B"/>
          <w:sz w:val="20"/>
        </w:rPr>
        <w:t>3. **A Specific Subject Matter (*Bepaald Onderwerp* - Paragraph 3):**</w:t>
      </w:r>
    </w:p>
    <w:p>
      <w:pPr>
        <w:spacing w:before="0" w:after="80" w:line="276" w:lineRule="auto"/>
      </w:pPr>
      <w:r>
        <w:rPr>
          <w:rFonts w:ascii="Arial" w:hAnsi="Arial"/>
          <w:color w:val="1E293B"/>
          <w:sz w:val="20"/>
        </w:rPr>
        <w:t xml:space="preserve">   * The object of the performance must be ascertainable, defined as to its nature, and capable of being commercially traded (Articles 1332 and 1333 of the Civil Code).</w:t>
      </w:r>
    </w:p>
    <w:p>
      <w:pPr>
        <w:spacing w:before="0" w:after="80" w:line="276" w:lineRule="auto"/>
      </w:pPr>
      <w:r>
        <w:rPr>
          <w:rFonts w:ascii="Arial" w:hAnsi="Arial"/>
          <w:color w:val="1E293B"/>
          <w:sz w:val="20"/>
        </w:rPr>
        <w:t xml:space="preserve">   * The precise quantity need not be fixed at the time of execution, provided it can subsequently be determined or calculated with legal certainty.</w:t>
      </w:r>
    </w:p>
    <w:p>
      <w:pPr>
        <w:spacing w:before="0" w:after="80" w:line="276" w:lineRule="auto"/>
      </w:pPr>
      <w:r>
        <w:rPr>
          <w:rFonts w:ascii="Arial" w:hAnsi="Arial"/>
          <w:color w:val="1E293B"/>
          <w:sz w:val="20"/>
        </w:rPr>
        <w:t>4. **A Lawful Cause (*Geoorloofde Oorzaak* - Paragraph 4):**</w:t>
      </w:r>
    </w:p>
    <w:p>
      <w:pPr>
        <w:spacing w:before="0" w:after="80" w:line="276" w:lineRule="auto"/>
      </w:pPr>
      <w:r>
        <w:rPr>
          <w:rFonts w:ascii="Arial" w:hAnsi="Arial"/>
          <w:color w:val="1E293B"/>
          <w:sz w:val="20"/>
        </w:rPr>
        <w:t xml:space="preserve">   * The underlying legal purpose or objective motive of the contract (*causa*) must not violate mandatory law (*dwingend recht*), good morals (*kesusilaan / goede zeden*), or public order (*ketertiban umum / openbare orde*) (Articles 1335 and 1337 of the Civil Code).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Legal Consequences of Non-Compliance</w:t>
      </w:r>
    </w:p>
    <w:p>
      <w:pPr>
        <w:spacing w:before="0" w:after="80"/>
      </w:pPr>
    </w:p>
    <w:p>
      <w:pPr>
        <w:spacing w:before="0" w:after="80" w:line="276" w:lineRule="auto"/>
      </w:pPr>
      <w:r>
        <w:rPr>
          <w:rFonts w:ascii="Arial" w:hAnsi="Arial"/>
          <w:color w:val="1E293B"/>
          <w:sz w:val="20"/>
        </w:rPr>
        <w:t>1. **Breach of Subjective Requirements (Paragraphs 1 &amp; 2): Voidable (*Vernietigbaar / Relative Nullity*)**</w:t>
      </w:r>
    </w:p>
    <w:p>
      <w:pPr>
        <w:spacing w:before="0" w:after="80" w:line="276" w:lineRule="auto"/>
      </w:pPr>
      <w:r>
        <w:rPr>
          <w:rFonts w:ascii="Arial" w:hAnsi="Arial"/>
          <w:color w:val="1E293B"/>
          <w:sz w:val="20"/>
        </w:rPr>
        <w:t xml:space="preserve">   * The contract remains fully valid and enforceable, generating rights and obligations, unless and until it is annulled by a competent court.</w:t>
      </w:r>
    </w:p>
    <w:p>
      <w:pPr>
        <w:spacing w:before="0" w:after="80" w:line="276" w:lineRule="auto"/>
      </w:pPr>
      <w:r>
        <w:rPr>
          <w:rFonts w:ascii="Arial" w:hAnsi="Arial"/>
          <w:color w:val="1E293B"/>
          <w:sz w:val="20"/>
        </w:rPr>
        <w:t xml:space="preserve">   * Only the legally incapacitated party (or their legal guardian/curator) or the party whose consent was vitiated possesses standing to file an action for annulment.</w:t>
      </w:r>
    </w:p>
    <w:p>
      <w:pPr>
        <w:spacing w:before="0" w:after="80" w:line="276" w:lineRule="auto"/>
      </w:pPr>
      <w:r>
        <w:rPr>
          <w:rFonts w:ascii="Arial" w:hAnsi="Arial"/>
          <w:color w:val="1E293B"/>
          <w:sz w:val="20"/>
        </w:rPr>
        <w:t xml:space="preserve">   * A statutory limitation period of 5 (five) years applies to claims seeking contract annulment (Article 1454 of the Civil Code).</w:t>
      </w:r>
    </w:p>
    <w:p>
      <w:pPr>
        <w:spacing w:before="0" w:after="80" w:line="276" w:lineRule="auto"/>
      </w:pPr>
      <w:r>
        <w:rPr>
          <w:rFonts w:ascii="Arial" w:hAnsi="Arial"/>
          <w:color w:val="1E293B"/>
          <w:sz w:val="20"/>
        </w:rPr>
        <w:t>2. **Breach of Objective Requirements (Paragraphs 3 &amp; 4): Void *Ab Initio* (*Nietig / Absolute Nullity*)**</w:t>
      </w:r>
    </w:p>
    <w:p>
      <w:pPr>
        <w:spacing w:before="0" w:after="80" w:line="276" w:lineRule="auto"/>
      </w:pPr>
      <w:r>
        <w:rPr>
          <w:rFonts w:ascii="Arial" w:hAnsi="Arial"/>
          <w:color w:val="1E293B"/>
          <w:sz w:val="20"/>
        </w:rPr>
        <w:t xml:space="preserve">   * The contract is legally deemed never to have existed (*null and void*).</w:t>
      </w:r>
    </w:p>
    <w:p>
      <w:pPr>
        <w:spacing w:before="0" w:after="80" w:line="276" w:lineRule="auto"/>
      </w:pPr>
      <w:r>
        <w:rPr>
          <w:rFonts w:ascii="Arial" w:hAnsi="Arial"/>
          <w:color w:val="1E293B"/>
          <w:sz w:val="20"/>
        </w:rPr>
        <w:t xml:space="preserve">   * It confers zero binding legal force upon any party. The court has the authority to issue a declaratory judgment that the agreement is null and void *ex officio* (on its own motion), without requiring an affirmative claim for annulment by a contracting party.</w:t>
      </w:r>
    </w:p>
    <w:p>
      <w:pPr>
        <w:spacing w:before="0" w:after="80" w:line="276" w:lineRule="auto"/>
      </w:pPr>
      <w:r>
        <w:rPr>
          <w:rFonts w:ascii="Arial" w:hAnsi="Arial"/>
          <w:color w:val="1E293B"/>
          <w:sz w:val="20"/>
        </w:rPr>
        <w:t xml:space="preserve">   * The parties must be restored to their pre-contractual status (*restitutio in integrum*).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Integrated Statutory Cross-References</w:t>
      </w:r>
    </w:p>
    <w:p>
      <w:pPr>
        <w:spacing w:before="0" w:after="80"/>
      </w:pPr>
    </w:p>
    <w:p>
      <w:pPr>
        <w:spacing w:before="0" w:after="80" w:line="276" w:lineRule="auto"/>
      </w:pPr>
      <w:r>
        <w:rPr>
          <w:rFonts w:ascii="Arial" w:hAnsi="Arial"/>
          <w:color w:val="1E293B"/>
          <w:sz w:val="20"/>
        </w:rPr>
        <w:t>* **Article 1338 of the Civil Code (Freedom of Contract &amp; *Pacta Sunt Servanda*):** Contracts legally entered into (satisfying Article 1320) operate as binding law between the parties and must be executed in good faith (*te goeder trouw*).</w:t>
      </w:r>
    </w:p>
    <w:p>
      <w:pPr>
        <w:spacing w:before="0" w:after="80" w:line="276" w:lineRule="auto"/>
      </w:pPr>
      <w:r>
        <w:rPr>
          <w:rFonts w:ascii="Arial" w:hAnsi="Arial"/>
          <w:color w:val="1E293B"/>
          <w:sz w:val="20"/>
        </w:rPr>
        <w:t>* **Law No. 24 of 2009 in conjunction with Presidential Regulation No. 63 of 2019:** Commercial contracts involving Indonesian entities or nationals must be drafted in the Indonesian language (Article 31). Failure to comply poses the substantial risk of rendering the contract null and void *ab initio* for want of a lawful cause (violation of mandatory statutory requirements).</w:t>
      </w:r>
    </w:p>
    <w:p>
      <w:pPr>
        <w:spacing w:before="0" w:after="80" w:line="276" w:lineRule="auto"/>
      </w:pPr>
      <w:r>
        <w:rPr>
          <w:rFonts w:ascii="Arial" w:hAnsi="Arial"/>
          <w:color w:val="1E293B"/>
          <w:sz w:val="20"/>
        </w:rPr>
        <w:t>* **Law No. 11 of 2008 as amended by Law No. 1 of 2024 (Electronic Information and Transactions / ITE) &amp; Government Regulation No. 71 of 2019 (PSTE):** Electronic contracts possess equal legal validity and enforceability provided they comply with Article 1320 of the Civil Code alongside statutory electronic system reliability and digital signature standards.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Practical Drafting &amp; Compliance Guidance for Risk Mitigation</w:t>
      </w:r>
    </w:p>
    <w:p>
      <w:pPr>
        <w:spacing w:before="0" w:after="80"/>
      </w:pPr>
    </w:p>
    <w:p>
      <w:pPr>
        <w:spacing w:before="0" w:after="80" w:line="276" w:lineRule="auto"/>
      </w:pPr>
      <w:r>
        <w:rPr>
          <w:rFonts w:ascii="Arial" w:hAnsi="Arial"/>
          <w:color w:val="1E293B"/>
          <w:sz w:val="20"/>
        </w:rPr>
        <w:t>1. **Verification of Capacity and Authority (Recitals/Preamble Clause):**</w:t>
      </w:r>
    </w:p>
    <w:p>
      <w:pPr>
        <w:spacing w:before="0" w:after="80" w:line="276" w:lineRule="auto"/>
      </w:pPr>
      <w:r>
        <w:rPr>
          <w:rFonts w:ascii="Arial" w:hAnsi="Arial"/>
          <w:color w:val="1E293B"/>
          <w:sz w:val="20"/>
        </w:rPr>
        <w:t xml:space="preserve">   * Conduct due diligence on signatory age, corporate Articles of Association (pursuant to Law No. 40 of 2007 on Limited Liability Companies), board approval resolutions, or powers of attorney to confirm authorized representation.</w:t>
      </w:r>
    </w:p>
    <w:p>
      <w:pPr>
        <w:spacing w:before="0" w:after="80" w:line="276" w:lineRule="auto"/>
      </w:pPr>
      <w:r>
        <w:rPr>
          <w:rFonts w:ascii="Arial" w:hAnsi="Arial"/>
          <w:color w:val="1E293B"/>
          <w:sz w:val="20"/>
        </w:rPr>
        <w:t>2. **Preclusion of Vices of Consent:**</w:t>
      </w:r>
    </w:p>
    <w:p>
      <w:pPr>
        <w:spacing w:before="0" w:after="80" w:line="276" w:lineRule="auto"/>
      </w:pPr>
      <w:r>
        <w:rPr>
          <w:rFonts w:ascii="Arial" w:hAnsi="Arial"/>
          <w:color w:val="1E293B"/>
          <w:sz w:val="20"/>
        </w:rPr>
        <w:t xml:space="preserve">   * Incorporate standard "Representations and Warranties" explicitly stating that each party enters into the agreement voluntarily, based on independent evaluation, and free from coercion, misrepresentation, or fraud.</w:t>
      </w:r>
    </w:p>
    <w:p>
      <w:pPr>
        <w:spacing w:before="0" w:after="80" w:line="276" w:lineRule="auto"/>
      </w:pPr>
      <w:r>
        <w:rPr>
          <w:rFonts w:ascii="Arial" w:hAnsi="Arial"/>
          <w:color w:val="1E293B"/>
          <w:sz w:val="20"/>
        </w:rPr>
        <w:t>3. **Explicit Determination of Contractual Performance:**</w:t>
      </w:r>
    </w:p>
    <w:p>
      <w:pPr>
        <w:spacing w:before="0" w:after="80" w:line="276" w:lineRule="auto"/>
      </w:pPr>
      <w:r>
        <w:rPr>
          <w:rFonts w:ascii="Arial" w:hAnsi="Arial"/>
          <w:color w:val="1E293B"/>
          <w:sz w:val="20"/>
        </w:rPr>
        <w:t xml:space="preserve">   * Detail the scope of work, technical specifications, payment terms, and delivery schedules within the main text or schedules to prevent challenges based on uncertainty of the subject matter.</w:t>
      </w:r>
    </w:p>
    <w:p>
      <w:pPr>
        <w:spacing w:before="0" w:after="80" w:line="276" w:lineRule="auto"/>
      </w:pPr>
      <w:r>
        <w:rPr>
          <w:rFonts w:ascii="Arial" w:hAnsi="Arial"/>
          <w:color w:val="1E293B"/>
          <w:sz w:val="20"/>
        </w:rPr>
        <w:t>4. **Regulatory and Public Policy Alignment:**</w:t>
      </w:r>
    </w:p>
    <w:p>
      <w:pPr>
        <w:spacing w:before="0" w:after="80" w:line="276" w:lineRule="auto"/>
      </w:pPr>
      <w:r>
        <w:rPr>
          <w:rFonts w:ascii="Arial" w:hAnsi="Arial"/>
          <w:color w:val="1E293B"/>
          <w:sz w:val="20"/>
        </w:rPr>
        <w:t xml:space="preserve">   * Ensure that transaction structures do not circumvent foreign investment restrictions (e.g., the Positive Investment List under Government Regulation No. 10/2021 jo. GR 49/2021), anti-monopoly regulations (Law No. 5 of 1999), or foreign exchange reporting obligations.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