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1320 KUHPerdata"</w:t>
      </w:r>
    </w:p>
    <w:p>
      <w:pPr>
        <w:spacing w:before="0" w:after="360"/>
        <w:jc w:val="center"/>
      </w:pPr>
      <w:r>
        <w:rPr>
          <w:rFonts w:ascii="Arial" w:hAnsi="Arial"/>
          <w:color w:val="64748B"/>
          <w:sz w:val="17"/>
        </w:rPr>
        <w:t>CATEGORY: CORPORATE &amp; INVESTMENT | DUAL LANGUAGE: ID ↔ MANDARIN CHINESE (中文)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Statuter Pasal 1320 Kitab Undang-Undang Hukum Perdata (KUHPerdata)</w:t>
      </w:r>
    </w:p>
    <w:p>
      <w:pPr>
        <w:spacing w:before="0" w:after="80" w:line="276" w:lineRule="auto"/>
      </w:pPr>
      <w:r>
        <w:rPr>
          <w:rFonts w:ascii="Arial" w:hAnsi="Arial"/>
          <w:color w:val="1E293B"/>
          <w:sz w:val="20"/>
        </w:rPr>
        <w:t>Berdasarkan Pasal 1320 KUHPerdata (Burgerlijk Wetboek), validitas atau keabsahan suatu perjanjian memerlukan pemenuhan 4 (empat) syarat kumulatif:</w:t>
      </w:r>
    </w:p>
    <w:p>
      <w:pPr>
        <w:spacing w:before="0" w:after="80" w:line="276" w:lineRule="auto"/>
      </w:pPr>
      <w:r>
        <w:rPr>
          <w:rFonts w:ascii="Arial" w:hAnsi="Arial"/>
          <w:color w:val="1E293B"/>
          <w:sz w:val="20"/>
        </w:rPr>
        <w:t>&gt; *"Untuk sahnya suatu perjanjian diperlukan empat syarat:*</w:t>
      </w:r>
    </w:p>
    <w:p>
      <w:pPr>
        <w:spacing w:before="0" w:after="80" w:line="276" w:lineRule="auto"/>
      </w:pPr>
      <w:r>
        <w:rPr>
          <w:rFonts w:ascii="Arial" w:hAnsi="Arial"/>
          <w:color w:val="1E293B"/>
          <w:sz w:val="20"/>
        </w:rPr>
        <w:t>&gt; *1. Sepakat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hal tertentu;*</w:t>
      </w:r>
    </w:p>
    <w:p>
      <w:pPr>
        <w:spacing w:before="0" w:after="80" w:line="276" w:lineRule="auto"/>
      </w:pPr>
      <w:r>
        <w:rPr>
          <w:rFonts w:ascii="Arial" w:hAnsi="Arial"/>
          <w:color w:val="1E293B"/>
          <w:sz w:val="20"/>
        </w:rPr>
        <w:t>&gt; *4. Suatu sebab yang halal."*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Unsur Yuridis Keabsahan Kontrak</w:t>
      </w:r>
    </w:p>
    <w:p>
      <w:pPr>
        <w:spacing w:before="0" w:after="80"/>
      </w:pPr>
    </w:p>
    <w:p>
      <w:pPr>
        <w:spacing w:before="160" w:after="80" w:line="276" w:lineRule="auto"/>
      </w:pPr>
      <w:r>
        <w:rPr>
          <w:rFonts w:ascii="Arial" w:hAnsi="Arial"/>
          <w:b/>
          <w:color w:val="0F172A"/>
          <w:sz w:val="21"/>
        </w:rPr>
        <w:t>##### A. Syarat Subjektif (Menyangkut Subjek/Pihak yang Mengadakan Kontrak)</w:t>
      </w:r>
    </w:p>
    <w:p>
      <w:pPr>
        <w:spacing w:before="0" w:after="80" w:line="276" w:lineRule="auto"/>
      </w:pPr>
      <w:r>
        <w:rPr>
          <w:rFonts w:ascii="Arial" w:hAnsi="Arial"/>
          <w:color w:val="1E293B"/>
          <w:sz w:val="20"/>
        </w:rPr>
        <w:t>1. **Kesepakatan Para Pihak (*Consensus / Toestemming*)**</w:t>
      </w:r>
    </w:p>
    <w:p>
      <w:pPr>
        <w:spacing w:before="0" w:after="80" w:line="276" w:lineRule="auto"/>
      </w:pPr>
      <w:r>
        <w:rPr>
          <w:rFonts w:ascii="Arial" w:hAnsi="Arial"/>
          <w:color w:val="1E293B"/>
          <w:sz w:val="20"/>
        </w:rPr>
        <w:t xml:space="preserve">   * Para pihak harus menyatakan kehendak bebas tanpa adanya cacat kehendak (*wilsgebreken*).</w:t>
      </w:r>
    </w:p>
    <w:p>
      <w:pPr>
        <w:spacing w:before="0" w:after="80" w:line="276" w:lineRule="auto"/>
      </w:pPr>
      <w:r>
        <w:rPr>
          <w:rFonts w:ascii="Arial" w:hAnsi="Arial"/>
          <w:color w:val="1E293B"/>
          <w:sz w:val="20"/>
        </w:rPr>
        <w:t xml:space="preserve">   * Berdasarkan Pasal 1321 KUHPerdata, kesepakatan dianggap tidak sah apabila diberikan karena:</w:t>
      </w:r>
    </w:p>
    <w:p>
      <w:pPr>
        <w:spacing w:before="0" w:after="80" w:line="276" w:lineRule="auto"/>
      </w:pPr>
      <w:r>
        <w:rPr>
          <w:rFonts w:ascii="Arial" w:hAnsi="Arial"/>
          <w:color w:val="1E293B"/>
          <w:sz w:val="20"/>
        </w:rPr>
        <w:t xml:space="preserve">     * Kekhilafan (*dwaling* / error);</w:t>
      </w:r>
    </w:p>
    <w:p>
      <w:pPr>
        <w:spacing w:before="0" w:after="80" w:line="276" w:lineRule="auto"/>
      </w:pPr>
      <w:r>
        <w:rPr>
          <w:rFonts w:ascii="Arial" w:hAnsi="Arial"/>
          <w:color w:val="1E293B"/>
          <w:sz w:val="20"/>
        </w:rPr>
        <w:t xml:space="preserve">     * Paksaan (*dwang* / duress); atau</w:t>
      </w:r>
    </w:p>
    <w:p>
      <w:pPr>
        <w:spacing w:before="0" w:after="80" w:line="276" w:lineRule="auto"/>
      </w:pPr>
      <w:r>
        <w:rPr>
          <w:rFonts w:ascii="Arial" w:hAnsi="Arial"/>
          <w:color w:val="1E293B"/>
          <w:sz w:val="20"/>
        </w:rPr>
        <w:t xml:space="preserve">     * Penipuan (*bedrog* / fraud).</w:t>
      </w:r>
    </w:p>
    <w:p>
      <w:pPr>
        <w:spacing w:before="0" w:after="80" w:line="276" w:lineRule="auto"/>
      </w:pPr>
      <w:r>
        <w:rPr>
          <w:rFonts w:ascii="Arial" w:hAnsi="Arial"/>
          <w:color w:val="1E293B"/>
          <w:sz w:val="20"/>
        </w:rPr>
        <w:t xml:space="preserve">   * Doktrin modern dan yurisprudensi Mahkamah Agung juga mengakui penyalahgunaan keadaan (*misbruik van omstandigheden* / undue influence) sebagai bentuk cacat kehendak.</w:t>
      </w:r>
    </w:p>
    <w:p>
      <w:pPr>
        <w:spacing w:before="0" w:after="80"/>
      </w:pPr>
    </w:p>
    <w:p>
      <w:pPr>
        <w:spacing w:before="0" w:after="80" w:line="276" w:lineRule="auto"/>
      </w:pPr>
      <w:r>
        <w:rPr>
          <w:rFonts w:ascii="Arial" w:hAnsi="Arial"/>
          <w:color w:val="1E293B"/>
          <w:sz w:val="20"/>
        </w:rPr>
        <w:t>2. **Kecakapan Bertindak Para Pihak (*Bekwaamheid / Capacity*)**</w:t>
      </w:r>
    </w:p>
    <w:p>
      <w:pPr>
        <w:spacing w:before="0" w:after="80" w:line="276" w:lineRule="auto"/>
      </w:pPr>
      <w:r>
        <w:rPr>
          <w:rFonts w:ascii="Arial" w:hAnsi="Arial"/>
          <w:color w:val="1E293B"/>
          <w:sz w:val="20"/>
        </w:rPr>
        <w:t xml:space="preserve">   * Subjek hukum yang menandatangani kontrak harus memiliki kewenangan hukum perdata (*rechtsbekwaam* dan *handelingsbekwaam*).</w:t>
      </w:r>
    </w:p>
    <w:p>
      <w:pPr>
        <w:spacing w:before="0" w:after="80" w:line="276" w:lineRule="auto"/>
      </w:pPr>
      <w:r>
        <w:rPr>
          <w:rFonts w:ascii="Arial" w:hAnsi="Arial"/>
          <w:color w:val="1E293B"/>
          <w:sz w:val="20"/>
        </w:rPr>
        <w:t xml:space="preserve">   * Berdasarkan Pasal 1330 KUHPerdata, pihak yang dikategorikan tidak cakap meliputi:</w:t>
      </w:r>
    </w:p>
    <w:p>
      <w:pPr>
        <w:spacing w:before="0" w:after="80" w:line="276" w:lineRule="auto"/>
      </w:pPr>
      <w:r>
        <w:rPr>
          <w:rFonts w:ascii="Arial" w:hAnsi="Arial"/>
          <w:color w:val="1E293B"/>
          <w:sz w:val="20"/>
        </w:rPr>
        <w:t xml:space="preserve">     * Orang yang belum dewasa (merujuk pada Pasal 330 KUHPerdata jo. Pasal 47 UU No. 1/1974 tentang Perkawinan jo. UU No. 16/2019, batas usia dewasa adalah 18 tahun);</w:t>
      </w:r>
    </w:p>
    <w:p>
      <w:pPr>
        <w:spacing w:before="0" w:after="80" w:line="276" w:lineRule="auto"/>
      </w:pPr>
      <w:r>
        <w:rPr>
          <w:rFonts w:ascii="Arial" w:hAnsi="Arial"/>
          <w:color w:val="1E293B"/>
          <w:sz w:val="20"/>
        </w:rPr>
        <w:t xml:space="preserve">     * Orang yang ditaruh di bawah pengampuan (*curatele*);</w:t>
      </w:r>
    </w:p>
    <w:p>
      <w:pPr>
        <w:spacing w:before="0" w:after="80" w:line="276" w:lineRule="auto"/>
      </w:pPr>
      <w:r>
        <w:rPr>
          <w:rFonts w:ascii="Arial" w:hAnsi="Arial"/>
          <w:color w:val="1E293B"/>
          <w:sz w:val="20"/>
        </w:rPr>
        <w:t xml:space="preserve">     * Orang-orang perempuan dalam hal-hal yang ditetapkan oleh undang-undang (ketentuan ini telah dicabut/tidak berlaku lagi berdasarkan SEMA No. 3 Tahun 1963 dan UU Perkawinan).</w:t>
      </w:r>
    </w:p>
    <w:p>
      <w:pPr>
        <w:spacing w:before="0" w:after="80" w:line="276" w:lineRule="auto"/>
      </w:pPr>
      <w:r>
        <w:rPr>
          <w:rFonts w:ascii="Arial" w:hAnsi="Arial"/>
          <w:color w:val="1E293B"/>
          <w:sz w:val="20"/>
        </w:rPr>
        <w:t xml:space="preserve">   * Bagi badan hukum (*rechtspersoon*), kecakapan bertindak diwakili oleh Direksi yang berwenang sesuai Anggaran Dasar dan UU No. 40 Tahun 2007 tentang Perseroan Terbatas (UU PT).</w:t>
      </w:r>
    </w:p>
    <w:p>
      <w:pPr>
        <w:spacing w:before="0" w:after="80"/>
      </w:pPr>
    </w:p>
    <w:p>
      <w:pPr>
        <w:spacing w:before="160" w:after="80" w:line="276" w:lineRule="auto"/>
      </w:pPr>
      <w:r>
        <w:rPr>
          <w:rFonts w:ascii="Arial" w:hAnsi="Arial"/>
          <w:b/>
          <w:color w:val="0F172A"/>
          <w:sz w:val="21"/>
        </w:rPr>
        <w:t>##### B. Syarat Objektif (Menyangkut Objek dan Substansi Kontrak)</w:t>
      </w:r>
    </w:p>
    <w:p>
      <w:pPr>
        <w:spacing w:before="0" w:after="80" w:line="276" w:lineRule="auto"/>
      </w:pPr>
      <w:r>
        <w:rPr>
          <w:rFonts w:ascii="Arial" w:hAnsi="Arial"/>
          <w:color w:val="1E293B"/>
          <w:sz w:val="20"/>
        </w:rPr>
        <w:t>3. **Suatu Hal Tertentu (*Bepaalde Onderwerp / Certainty of Terms*)**</w:t>
      </w:r>
    </w:p>
    <w:p>
      <w:pPr>
        <w:spacing w:before="0" w:after="80" w:line="276" w:lineRule="auto"/>
      </w:pPr>
      <w:r>
        <w:rPr>
          <w:rFonts w:ascii="Arial" w:hAnsi="Arial"/>
          <w:color w:val="1E293B"/>
          <w:sz w:val="20"/>
        </w:rPr>
        <w:t xml:space="preserve">   * Perjanjian harus memiliki objek prestasi yang jelas, dapat ditentukan jenisnya, dan dapat dihitung kuantitasnya (Pasal 1332 dan Pasal 1333 KUHPerdata).</w:t>
      </w:r>
    </w:p>
    <w:p>
      <w:pPr>
        <w:spacing w:before="0" w:after="80" w:line="276" w:lineRule="auto"/>
      </w:pPr>
      <w:r>
        <w:rPr>
          <w:rFonts w:ascii="Arial" w:hAnsi="Arial"/>
          <w:color w:val="1E293B"/>
          <w:sz w:val="20"/>
        </w:rPr>
        <w:t xml:space="preserve">   * Objek perjanjian harus berupa barang atau jasa yang berada dalam lingkup perdagangan manusia (*in den handel*).</w:t>
      </w:r>
    </w:p>
    <w:p>
      <w:pPr>
        <w:spacing w:before="0" w:after="80"/>
      </w:pPr>
    </w:p>
    <w:p>
      <w:pPr>
        <w:spacing w:before="0" w:after="80" w:line="276" w:lineRule="auto"/>
      </w:pPr>
      <w:r>
        <w:rPr>
          <w:rFonts w:ascii="Arial" w:hAnsi="Arial"/>
          <w:color w:val="1E293B"/>
          <w:sz w:val="20"/>
        </w:rPr>
        <w:t>4. **Sebab yang Halal (*Geoorloofde Oorzaak / Lawful Cause*)**</w:t>
      </w:r>
    </w:p>
    <w:p>
      <w:pPr>
        <w:spacing w:before="0" w:after="80" w:line="276" w:lineRule="auto"/>
      </w:pPr>
      <w:r>
        <w:rPr>
          <w:rFonts w:ascii="Arial" w:hAnsi="Arial"/>
          <w:color w:val="1E293B"/>
          <w:sz w:val="20"/>
        </w:rPr>
        <w:t xml:space="preserve">   * Isi, maksud, dan tujuan (*causa*) dari perjanjian tidak boleh bertentangan dengan:</w:t>
      </w:r>
    </w:p>
    <w:p>
      <w:pPr>
        <w:spacing w:before="0" w:after="80" w:line="276" w:lineRule="auto"/>
      </w:pPr>
      <w:r>
        <w:rPr>
          <w:rFonts w:ascii="Arial" w:hAnsi="Arial"/>
          <w:color w:val="1E293B"/>
          <w:sz w:val="20"/>
        </w:rPr>
        <w:t xml:space="preserve">     * Ketentuan peraturan perundang-undangan yang bersifat memaksa (*dwingend recht*);</w:t>
      </w:r>
    </w:p>
    <w:p>
      <w:pPr>
        <w:spacing w:before="0" w:after="80" w:line="276" w:lineRule="auto"/>
      </w:pPr>
      <w:r>
        <w:rPr>
          <w:rFonts w:ascii="Arial" w:hAnsi="Arial"/>
          <w:color w:val="1E293B"/>
          <w:sz w:val="20"/>
        </w:rPr>
        <w:t xml:space="preserve">     * Ketertiban umum (*openbare orde*); atau</w:t>
      </w:r>
    </w:p>
    <w:p>
      <w:pPr>
        <w:spacing w:before="0" w:after="80" w:line="276" w:lineRule="auto"/>
      </w:pPr>
      <w:r>
        <w:rPr>
          <w:rFonts w:ascii="Arial" w:hAnsi="Arial"/>
          <w:color w:val="1E293B"/>
          <w:sz w:val="20"/>
        </w:rPr>
        <w:t xml:space="preserve">     * Kesusilaan yang baik (*goede zeden*) (Pasal 1335 jo. Pasal 1337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Akibat Hukum Pelanggaran Syarat Keabsahan</w:t>
      </w:r>
    </w:p>
    <w:p>
      <w:pPr>
        <w:spacing w:before="0" w:after="80"/>
      </w:pPr>
    </w:p>
    <w:p>
      <w:pPr>
        <w:spacing w:before="0" w:after="80" w:line="276" w:lineRule="auto"/>
      </w:pPr>
      <w:r>
        <w:rPr>
          <w:rFonts w:ascii="Arial" w:hAnsi="Arial"/>
          <w:color w:val="1E293B"/>
          <w:sz w:val="20"/>
        </w:rPr>
        <w:t>1. **Pelanggaran Syarat Subjektif (Angka 1 &amp; 2):**</w:t>
      </w:r>
    </w:p>
    <w:p>
      <w:pPr>
        <w:spacing w:before="0" w:after="80" w:line="276" w:lineRule="auto"/>
      </w:pPr>
      <w:r>
        <w:rPr>
          <w:rFonts w:ascii="Arial" w:hAnsi="Arial"/>
          <w:color w:val="1E293B"/>
          <w:sz w:val="20"/>
        </w:rPr>
        <w:t xml:space="preserve">   * **Konsekuensi:** Perjanjian **Dapat Dibatalkan** (*vernietigbaar / voidable*).</w:t>
      </w:r>
    </w:p>
    <w:p>
      <w:pPr>
        <w:spacing w:before="0" w:after="80" w:line="276" w:lineRule="auto"/>
      </w:pPr>
      <w:r>
        <w:rPr>
          <w:rFonts w:ascii="Arial" w:hAnsi="Arial"/>
          <w:color w:val="1E293B"/>
          <w:sz w:val="20"/>
        </w:rPr>
        <w:t xml:space="preserve">   * Kontrak tetap sah dan mengikat para pihak selama belum dibatalkan oleh hakim perdata atas permohonan pihak yang tidak cakap atau pihak yang kehendaknya cacat (tenggang waktu daluwarsa gugatan pembatalan adalah 5 tahun berdasarkan Pasal 1454 KUHPerdata).</w:t>
      </w:r>
    </w:p>
    <w:p>
      <w:pPr>
        <w:spacing w:before="0" w:after="80"/>
      </w:pPr>
    </w:p>
    <w:p>
      <w:pPr>
        <w:spacing w:before="0" w:after="80" w:line="276" w:lineRule="auto"/>
      </w:pPr>
      <w:r>
        <w:rPr>
          <w:rFonts w:ascii="Arial" w:hAnsi="Arial"/>
          <w:color w:val="1E293B"/>
          <w:sz w:val="20"/>
        </w:rPr>
        <w:t>2. **Pelanggaran Syarat Objektif (Angka 3 &amp; 4):**</w:t>
      </w:r>
    </w:p>
    <w:p>
      <w:pPr>
        <w:spacing w:before="0" w:after="80" w:line="276" w:lineRule="auto"/>
      </w:pPr>
      <w:r>
        <w:rPr>
          <w:rFonts w:ascii="Arial" w:hAnsi="Arial"/>
          <w:color w:val="1E293B"/>
          <w:sz w:val="20"/>
        </w:rPr>
        <w:t xml:space="preserve">   * **Konsekuensi:** Perjanjian **Batal Demi Hukum** (*nietig van rechtswege / absolutely null and void*).</w:t>
      </w:r>
    </w:p>
    <w:p>
      <w:pPr>
        <w:spacing w:before="0" w:after="80" w:line="276" w:lineRule="auto"/>
      </w:pPr>
      <w:r>
        <w:rPr>
          <w:rFonts w:ascii="Arial" w:hAnsi="Arial"/>
          <w:color w:val="1E293B"/>
          <w:sz w:val="20"/>
        </w:rPr>
        <w:t xml:space="preserve">   * Dari sudut pandang hukum, kontrak dianggap tidak pernah ada sejak awal (*ab initio*), tidak memiliki kekuatan eksekutorial, dan pengadilan wajib menyatakannya batal meskipun tidak dimohonkan oleh para pihak.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Keterkaitan dengan Ketentuan Hukum Terkait</w:t>
      </w:r>
    </w:p>
    <w:p>
      <w:pPr>
        <w:spacing w:before="0" w:after="80" w:line="276" w:lineRule="auto"/>
      </w:pPr>
      <w:r>
        <w:rPr>
          <w:rFonts w:ascii="Arial" w:hAnsi="Arial"/>
          <w:color w:val="1E293B"/>
          <w:sz w:val="20"/>
        </w:rPr>
        <w:t>* **Pasal 1338 KUHPerdata:** Asas *Pacta Sunt Servanda* dan Kebebasan Berkontrak (*freedom of contract*) hanya berlaku mengikat secara sah sebagai undang-undang bagi para pihak apabila seluruh syarat dalam Pasal 1320 terpenuhi secara kumulatif, serta dilaksanakan dengan itikad baik (*te goeder trouw*).</w:t>
      </w:r>
    </w:p>
    <w:p>
      <w:pPr>
        <w:spacing w:before="0" w:after="80" w:line="276" w:lineRule="auto"/>
      </w:pPr>
      <w:r>
        <w:rPr>
          <w:rFonts w:ascii="Arial" w:hAnsi="Arial"/>
          <w:color w:val="1E293B"/>
          <w:sz w:val="20"/>
        </w:rPr>
        <w:t>* **UU No. 24 Tahun 2009:** Kewajiban penggunaan Bahasa Indonesia dalam nota kesepahaman atau perjanjian yang melibatkan pihak Indonesia (Pasal 31), yang jika dilanggar dapat menjadi dasar gugatan pembatalan kontrak karena pelanggaran sebab yang halal/ketertiban hukum formil.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Praktis Kepatuhan &amp; Mitigasi Risiko</w:t>
      </w:r>
    </w:p>
    <w:p>
      <w:pPr>
        <w:spacing w:before="0" w:after="80" w:line="276" w:lineRule="auto"/>
      </w:pPr>
      <w:r>
        <w:rPr>
          <w:rFonts w:ascii="Arial" w:hAnsi="Arial"/>
          <w:color w:val="1E293B"/>
          <w:sz w:val="20"/>
        </w:rPr>
        <w:t>1. **Due Diligence Kapasitas Pihak:** Lakukan verifikasi identitas (KTP/Paspor), batasan usia kedewasaan, serta tinjauan Anggaran Dasar perseroan (khusus badan hukum) untuk memastikan Direktur berwenang bertindak atau memerlukan persetujuan Dewan Komisaris / RUPS.</w:t>
      </w:r>
    </w:p>
    <w:p>
      <w:pPr>
        <w:spacing w:before="0" w:after="80" w:line="276" w:lineRule="auto"/>
      </w:pPr>
      <w:r>
        <w:rPr>
          <w:rFonts w:ascii="Arial" w:hAnsi="Arial"/>
          <w:color w:val="1E293B"/>
          <w:sz w:val="20"/>
        </w:rPr>
        <w:t>2. **Klausul Representasi &amp; Jaminan (*Representations and Warranties*):** Cantumkan penegasan tertulis bahwa masing-masing pihak memiliki kecakapan legal dan bebas dari paksaan, penipuan, atau kekhilafan.</w:t>
      </w:r>
    </w:p>
    <w:p>
      <w:pPr>
        <w:spacing w:before="0" w:after="80" w:line="276" w:lineRule="auto"/>
      </w:pPr>
      <w:r>
        <w:rPr>
          <w:rFonts w:ascii="Arial" w:hAnsi="Arial"/>
          <w:color w:val="1E293B"/>
          <w:sz w:val="20"/>
        </w:rPr>
        <w:t>3. **Definisi Ruang Lingkup dan Spesifikasi Prestasi:** Rumuskan hak, kewajiban, deliverables, harga, dan mekanisme serah terima secara terperinci guna menghindari pembatalan akibat ketidakjelasan objek perjanjian.</w:t>
      </w:r>
    </w:p>
    <w:p>
      <w:pPr>
        <w:spacing w:before="0" w:after="80" w:line="276" w:lineRule="auto"/>
      </w:pPr>
      <w:r>
        <w:rPr>
          <w:rFonts w:ascii="Arial" w:hAnsi="Arial"/>
          <w:color w:val="1E293B"/>
          <w:sz w:val="20"/>
        </w:rPr>
        <w:t>4. **Kepatuhan Terhadap Regulasi Sektoral:** Pastikan klausul transaksi tidak melanggar ketentuan hukum persaingan usaha (UU No. 5/1999), peraturan ketenagakerjaan, perpajakan, maupun devisa dan mata uang Rupiah (UU Mata Uang No. 7/2011).</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《印度尼西亚民法典》(KUHPerdata) 第1320条法定条文</w:t>
      </w:r>
    </w:p>
    <w:p>
      <w:pPr>
        <w:spacing w:before="0" w:after="80" w:line="276" w:lineRule="auto"/>
      </w:pPr>
      <w:r>
        <w:rPr>
          <w:rFonts w:ascii="Arial" w:hAnsi="Arial"/>
          <w:color w:val="1E293B"/>
          <w:sz w:val="20"/>
        </w:rPr>
        <w:t>根据《印度尼西亚民法典》（KUHPerdata）第1320条，一份协议或合同的合法有效成立必须累积性满足4项法定实质要件：</w:t>
      </w:r>
    </w:p>
    <w:p>
      <w:pPr>
        <w:spacing w:before="0" w:after="80" w:line="276" w:lineRule="auto"/>
      </w:pPr>
      <w:r>
        <w:rPr>
          <w:rFonts w:ascii="Arial" w:hAnsi="Arial"/>
          <w:color w:val="1E293B"/>
          <w:sz w:val="20"/>
        </w:rPr>
        <w:t>&gt; *“协议的有效成立，必须具备以下四项条件：*</w:t>
      </w:r>
    </w:p>
    <w:p>
      <w:pPr>
        <w:spacing w:before="0" w:after="80" w:line="276" w:lineRule="auto"/>
      </w:pPr>
      <w:r>
        <w:rPr>
          <w:rFonts w:ascii="Arial" w:hAnsi="Arial"/>
          <w:color w:val="1E293B"/>
          <w:sz w:val="20"/>
        </w:rPr>
        <w:t>&gt; *1. 缔约各方的真实合意；*</w:t>
      </w:r>
    </w:p>
    <w:p>
      <w:pPr>
        <w:spacing w:before="0" w:after="80" w:line="276" w:lineRule="auto"/>
      </w:pPr>
      <w:r>
        <w:rPr>
          <w:rFonts w:ascii="Arial" w:hAnsi="Arial"/>
          <w:color w:val="1E293B"/>
          <w:sz w:val="20"/>
        </w:rPr>
        <w:t>&gt; *2. 订立要约及承诺的缔约行为能力；*</w:t>
      </w:r>
    </w:p>
    <w:p>
      <w:pPr>
        <w:spacing w:before="0" w:after="80" w:line="276" w:lineRule="auto"/>
      </w:pPr>
      <w:r>
        <w:rPr>
          <w:rFonts w:ascii="Arial" w:hAnsi="Arial"/>
          <w:color w:val="1E293B"/>
          <w:sz w:val="20"/>
        </w:rPr>
        <w:t>&gt; *3. 确定具体的标的物或履行事项；*</w:t>
      </w:r>
    </w:p>
    <w:p>
      <w:pPr>
        <w:spacing w:before="0" w:after="80" w:line="276" w:lineRule="auto"/>
      </w:pPr>
      <w:r>
        <w:rPr>
          <w:rFonts w:ascii="Arial" w:hAnsi="Arial"/>
          <w:color w:val="1E293B"/>
          <w:sz w:val="20"/>
        </w:rPr>
        <w:t>&gt; *4. 合法的事由（合法对价/合同目的）。”*</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合同有效要件之法理剖析</w:t>
      </w:r>
    </w:p>
    <w:p>
      <w:pPr>
        <w:spacing w:before="0" w:after="80"/>
      </w:pPr>
    </w:p>
    <w:p>
      <w:pPr>
        <w:spacing w:before="160" w:after="80" w:line="276" w:lineRule="auto"/>
      </w:pPr>
      <w:r>
        <w:rPr>
          <w:rFonts w:ascii="Arial" w:hAnsi="Arial"/>
          <w:b/>
          <w:color w:val="0F172A"/>
          <w:sz w:val="21"/>
        </w:rPr>
        <w:t>##### A. 主体要件（主观要件，针对签约主体资格及意思表示）</w:t>
      </w:r>
    </w:p>
    <w:p>
      <w:pPr>
        <w:spacing w:before="0" w:after="80" w:line="276" w:lineRule="auto"/>
      </w:pPr>
      <w:r>
        <w:rPr>
          <w:rFonts w:ascii="Arial" w:hAnsi="Arial"/>
          <w:color w:val="1E293B"/>
          <w:sz w:val="20"/>
        </w:rPr>
        <w:t>1. **缔约各方的合意（*Consensus / Toestemming*）**</w:t>
      </w:r>
    </w:p>
    <w:p>
      <w:pPr>
        <w:spacing w:before="0" w:after="80" w:line="276" w:lineRule="auto"/>
      </w:pPr>
      <w:r>
        <w:rPr>
          <w:rFonts w:ascii="Arial" w:hAnsi="Arial"/>
          <w:color w:val="1E293B"/>
          <w:sz w:val="20"/>
        </w:rPr>
        <w:t xml:space="preserve">   * 双方当事人必须作出真实自由的意思表示，不存在“意思表示瑕疵”（*wilsgebreken*）。</w:t>
      </w:r>
    </w:p>
    <w:p>
      <w:pPr>
        <w:spacing w:before="0" w:after="80" w:line="276" w:lineRule="auto"/>
      </w:pPr>
      <w:r>
        <w:rPr>
          <w:rFonts w:ascii="Arial" w:hAnsi="Arial"/>
          <w:color w:val="1E293B"/>
          <w:sz w:val="20"/>
        </w:rPr>
        <w:t xml:space="preserve">   * 根据《民法典》第1321条，若同意系基于以下情形作出，则该合意在法律上视为无效：</w:t>
      </w:r>
    </w:p>
    <w:p>
      <w:pPr>
        <w:spacing w:before="0" w:after="80" w:line="276" w:lineRule="auto"/>
      </w:pPr>
      <w:r>
        <w:rPr>
          <w:rFonts w:ascii="Arial" w:hAnsi="Arial"/>
          <w:color w:val="1E293B"/>
          <w:sz w:val="20"/>
        </w:rPr>
        <w:t xml:space="preserve">     * 重大误解（*dwaling* / Mistake）；</w:t>
      </w:r>
    </w:p>
    <w:p>
      <w:pPr>
        <w:spacing w:before="0" w:after="80" w:line="276" w:lineRule="auto"/>
      </w:pPr>
      <w:r>
        <w:rPr>
          <w:rFonts w:ascii="Arial" w:hAnsi="Arial"/>
          <w:color w:val="1E293B"/>
          <w:sz w:val="20"/>
        </w:rPr>
        <w:t xml:space="preserve">     * 胁迫（*dwang* / Duress）；或</w:t>
      </w:r>
    </w:p>
    <w:p>
      <w:pPr>
        <w:spacing w:before="0" w:after="80" w:line="276" w:lineRule="auto"/>
      </w:pPr>
      <w:r>
        <w:rPr>
          <w:rFonts w:ascii="Arial" w:hAnsi="Arial"/>
          <w:color w:val="1E293B"/>
          <w:sz w:val="20"/>
        </w:rPr>
        <w:t xml:space="preserve">     * 欺诈（*bedrog* / Fraud）。</w:t>
      </w:r>
    </w:p>
    <w:p>
      <w:pPr>
        <w:spacing w:before="0" w:after="80" w:line="276" w:lineRule="auto"/>
      </w:pPr>
      <w:r>
        <w:rPr>
          <w:rFonts w:ascii="Arial" w:hAnsi="Arial"/>
          <w:color w:val="1E293B"/>
          <w:sz w:val="20"/>
        </w:rPr>
        <w:t xml:space="preserve">   * 现代法学学说及印尼最高法院判例亦将“乘人之危/情势滥用”（*misbruik van omstandigheden* / Undue Influence）确认为意思表示瑕疵的情形之一。</w:t>
      </w:r>
    </w:p>
    <w:p>
      <w:pPr>
        <w:spacing w:before="0" w:after="80"/>
      </w:pPr>
    </w:p>
    <w:p>
      <w:pPr>
        <w:spacing w:before="0" w:after="80" w:line="276" w:lineRule="auto"/>
      </w:pPr>
      <w:r>
        <w:rPr>
          <w:rFonts w:ascii="Arial" w:hAnsi="Arial"/>
          <w:color w:val="1E293B"/>
          <w:sz w:val="20"/>
        </w:rPr>
        <w:t>2. **当事人的缔约行为能力（*Bekwaamheid / Legal Capacity*）**</w:t>
      </w:r>
    </w:p>
    <w:p>
      <w:pPr>
        <w:spacing w:before="0" w:after="80" w:line="276" w:lineRule="auto"/>
      </w:pPr>
      <w:r>
        <w:rPr>
          <w:rFonts w:ascii="Arial" w:hAnsi="Arial"/>
          <w:color w:val="1E293B"/>
          <w:sz w:val="20"/>
        </w:rPr>
        <w:t xml:space="preserve">   * 签署合同的民事主体必须具备民事权利能力（*rechtsbekwaam*）和民事行为能力（*handelingsbekwaam*）。</w:t>
      </w:r>
    </w:p>
    <w:p>
      <w:pPr>
        <w:spacing w:before="0" w:after="80" w:line="276" w:lineRule="auto"/>
      </w:pPr>
      <w:r>
        <w:rPr>
          <w:rFonts w:ascii="Arial" w:hAnsi="Arial"/>
          <w:color w:val="1E293B"/>
          <w:sz w:val="20"/>
        </w:rPr>
        <w:t xml:space="preserve">   * 根据《民法典》第1330条，下列人员属于无缔约行为能力人：</w:t>
      </w:r>
    </w:p>
    <w:p>
      <w:pPr>
        <w:spacing w:before="0" w:after="80" w:line="276" w:lineRule="auto"/>
      </w:pPr>
      <w:r>
        <w:rPr>
          <w:rFonts w:ascii="Arial" w:hAnsi="Arial"/>
          <w:color w:val="1E293B"/>
          <w:sz w:val="20"/>
        </w:rPr>
        <w:t xml:space="preserve">     * 未成年人（结合《民法典》第330条、经第16/2019号法律修正的第1/1974号《婚姻法》第47条规定，成年法定年龄为18周岁）；</w:t>
      </w:r>
    </w:p>
    <w:p>
      <w:pPr>
        <w:spacing w:before="0" w:after="80" w:line="276" w:lineRule="auto"/>
      </w:pPr>
      <w:r>
        <w:rPr>
          <w:rFonts w:ascii="Arial" w:hAnsi="Arial"/>
          <w:color w:val="1E293B"/>
          <w:sz w:val="20"/>
        </w:rPr>
        <w:t xml:space="preserve">     * 受监护/受保佐人（*curatele*）；</w:t>
      </w:r>
    </w:p>
    <w:p>
      <w:pPr>
        <w:spacing w:before="0" w:after="80" w:line="276" w:lineRule="auto"/>
      </w:pPr>
      <w:r>
        <w:rPr>
          <w:rFonts w:ascii="Arial" w:hAnsi="Arial"/>
          <w:color w:val="1E293B"/>
          <w:sz w:val="20"/>
        </w:rPr>
        <w:t xml:space="preserve">     * 法律规定的已婚妇女（注：该歧视性规定已由印尼最高法院1963年第3号通令（SEMA No. 3/1963）及《婚姻法》正式废除，女性享有完全平等的独立缔约能力）。</w:t>
      </w:r>
    </w:p>
    <w:p>
      <w:pPr>
        <w:spacing w:before="0" w:after="80" w:line="276" w:lineRule="auto"/>
      </w:pPr>
      <w:r>
        <w:rPr>
          <w:rFonts w:ascii="Arial" w:hAnsi="Arial"/>
          <w:color w:val="1E293B"/>
          <w:sz w:val="20"/>
        </w:rPr>
        <w:t xml:space="preserve">   * 对于法人主体（*rechtspersoon*），签约代表必须是依据公司章程及第40/2007号《有限责任公司法》（UU PT）享有对外合法代表权的董事（Direksi）。</w:t>
      </w:r>
    </w:p>
    <w:p>
      <w:pPr>
        <w:spacing w:before="0" w:after="80"/>
      </w:pPr>
    </w:p>
    <w:p>
      <w:pPr>
        <w:spacing w:before="160" w:after="80" w:line="276" w:lineRule="auto"/>
      </w:pPr>
      <w:r>
        <w:rPr>
          <w:rFonts w:ascii="Arial" w:hAnsi="Arial"/>
          <w:b/>
          <w:color w:val="0F172A"/>
          <w:sz w:val="21"/>
        </w:rPr>
        <w:t>##### B. 客体/内容要件（客观要件，针对合同标的及目的）</w:t>
      </w:r>
    </w:p>
    <w:p>
      <w:pPr>
        <w:spacing w:before="0" w:after="80" w:line="276" w:lineRule="auto"/>
      </w:pPr>
      <w:r>
        <w:rPr>
          <w:rFonts w:ascii="Arial" w:hAnsi="Arial"/>
          <w:color w:val="1E293B"/>
          <w:sz w:val="20"/>
        </w:rPr>
        <w:t>3. **确定具体的标的（*Bepaalde Onderwerp / Certainty of Subject Matter*）**</w:t>
      </w:r>
    </w:p>
    <w:p>
      <w:pPr>
        <w:spacing w:before="0" w:after="80" w:line="276" w:lineRule="auto"/>
      </w:pPr>
      <w:r>
        <w:rPr>
          <w:rFonts w:ascii="Arial" w:hAnsi="Arial"/>
          <w:color w:val="1E293B"/>
          <w:sz w:val="20"/>
        </w:rPr>
        <w:t xml:space="preserve">   * 合同的给付客体（货物、服务或权利）必须明确、其种类可以确定且数量具备可计算性（《民法典》第1332条及第1333条）。</w:t>
      </w:r>
    </w:p>
    <w:p>
      <w:pPr>
        <w:spacing w:before="0" w:after="80" w:line="276" w:lineRule="auto"/>
      </w:pPr>
      <w:r>
        <w:rPr>
          <w:rFonts w:ascii="Arial" w:hAnsi="Arial"/>
          <w:color w:val="1E293B"/>
          <w:sz w:val="20"/>
        </w:rPr>
        <w:t xml:space="preserve">   * 该标的物必须属于民商事流通领域内的合法财产或劳务（*in den handel*）。</w:t>
      </w:r>
    </w:p>
    <w:p>
      <w:pPr>
        <w:spacing w:before="0" w:after="80"/>
      </w:pPr>
    </w:p>
    <w:p>
      <w:pPr>
        <w:spacing w:before="0" w:after="80" w:line="276" w:lineRule="auto"/>
      </w:pPr>
      <w:r>
        <w:rPr>
          <w:rFonts w:ascii="Arial" w:hAnsi="Arial"/>
          <w:color w:val="1E293B"/>
          <w:sz w:val="20"/>
        </w:rPr>
        <w:t>4. **合法事由/法定合法目的（*Geoorloofde Oorzaak / Lawful Cause*）**</w:t>
      </w:r>
    </w:p>
    <w:p>
      <w:pPr>
        <w:spacing w:before="0" w:after="80" w:line="276" w:lineRule="auto"/>
      </w:pPr>
      <w:r>
        <w:rPr>
          <w:rFonts w:ascii="Arial" w:hAnsi="Arial"/>
          <w:color w:val="1E293B"/>
          <w:sz w:val="20"/>
        </w:rPr>
        <w:t xml:space="preserve">   * 合同的实质内容、动因及目的（*causa*）不得违反：</w:t>
      </w:r>
    </w:p>
    <w:p>
      <w:pPr>
        <w:spacing w:before="0" w:after="80" w:line="276" w:lineRule="auto"/>
      </w:pPr>
      <w:r>
        <w:rPr>
          <w:rFonts w:ascii="Arial" w:hAnsi="Arial"/>
          <w:color w:val="1E293B"/>
          <w:sz w:val="20"/>
        </w:rPr>
        <w:t xml:space="preserve">     * 强制性法律法规（*dwingend recht*）；</w:t>
      </w:r>
    </w:p>
    <w:p>
      <w:pPr>
        <w:spacing w:before="0" w:after="80" w:line="276" w:lineRule="auto"/>
      </w:pPr>
      <w:r>
        <w:rPr>
          <w:rFonts w:ascii="Arial" w:hAnsi="Arial"/>
          <w:color w:val="1E293B"/>
          <w:sz w:val="20"/>
        </w:rPr>
        <w:t xml:space="preserve">     * 公共秩序（*openbare orde*）；或</w:t>
      </w:r>
    </w:p>
    <w:p>
      <w:pPr>
        <w:spacing w:before="0" w:after="80" w:line="276" w:lineRule="auto"/>
      </w:pPr>
      <w:r>
        <w:rPr>
          <w:rFonts w:ascii="Arial" w:hAnsi="Arial"/>
          <w:color w:val="1E293B"/>
          <w:sz w:val="20"/>
        </w:rPr>
        <w:t xml:space="preserve">     * 公序良俗与道德准则（*goede zeden*）（《民法典》第1335条结合第1337条）。</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违反生效要件的法律后果</w:t>
      </w:r>
    </w:p>
    <w:p>
      <w:pPr>
        <w:spacing w:before="0" w:after="80"/>
      </w:pPr>
    </w:p>
    <w:p>
      <w:pPr>
        <w:spacing w:before="0" w:after="80" w:line="276" w:lineRule="auto"/>
      </w:pPr>
      <w:r>
        <w:rPr>
          <w:rFonts w:ascii="Arial" w:hAnsi="Arial"/>
          <w:color w:val="1E293B"/>
          <w:sz w:val="20"/>
        </w:rPr>
        <w:t>1. **违反主体要件（第1项与第2项）：**</w:t>
      </w:r>
    </w:p>
    <w:p>
      <w:pPr>
        <w:spacing w:before="0" w:after="80" w:line="276" w:lineRule="auto"/>
      </w:pPr>
      <w:r>
        <w:rPr>
          <w:rFonts w:ascii="Arial" w:hAnsi="Arial"/>
          <w:color w:val="1E293B"/>
          <w:sz w:val="20"/>
        </w:rPr>
        <w:t xml:space="preserve">   * **法律后果：** 合同**可撤销**（*Dapat Dibatalkan / Voidable / Vernietigbaar*）。</w:t>
      </w:r>
    </w:p>
    <w:p>
      <w:pPr>
        <w:spacing w:before="0" w:after="80" w:line="276" w:lineRule="auto"/>
      </w:pPr>
      <w:r>
        <w:rPr>
          <w:rFonts w:ascii="Arial" w:hAnsi="Arial"/>
          <w:color w:val="1E293B"/>
          <w:sz w:val="20"/>
        </w:rPr>
        <w:t xml:space="preserve">   * 在无行为能力人一方或意思表示受瑕疵影响的一方向民事法院提起诉讼并由法院正式判决撤销之前，该合同在法律上依然成立并对双方具有约束力（根据《民法典》第1454条，撤销诉权的时效为5年）。</w:t>
      </w:r>
    </w:p>
    <w:p>
      <w:pPr>
        <w:spacing w:before="0" w:after="80"/>
      </w:pPr>
    </w:p>
    <w:p>
      <w:pPr>
        <w:spacing w:before="0" w:after="80" w:line="276" w:lineRule="auto"/>
      </w:pPr>
      <w:r>
        <w:rPr>
          <w:rFonts w:ascii="Arial" w:hAnsi="Arial"/>
          <w:color w:val="1E293B"/>
          <w:sz w:val="20"/>
        </w:rPr>
        <w:t>2. **违反客体/内容要件（第3项与第4项）：**</w:t>
      </w:r>
    </w:p>
    <w:p>
      <w:pPr>
        <w:spacing w:before="0" w:after="80" w:line="276" w:lineRule="auto"/>
      </w:pPr>
      <w:r>
        <w:rPr>
          <w:rFonts w:ascii="Arial" w:hAnsi="Arial"/>
          <w:color w:val="1E293B"/>
          <w:sz w:val="20"/>
        </w:rPr>
        <w:t xml:space="preserve">   * **法律后果：** 合同**自始无效 / 当然无效**（*Batal Demi Hukum / Absolutely Null and Void / Nietig van rechtswege*）。</w:t>
      </w:r>
    </w:p>
    <w:p>
      <w:pPr>
        <w:spacing w:before="0" w:after="80" w:line="276" w:lineRule="auto"/>
      </w:pPr>
      <w:r>
        <w:rPr>
          <w:rFonts w:ascii="Arial" w:hAnsi="Arial"/>
          <w:color w:val="1E293B"/>
          <w:sz w:val="20"/>
        </w:rPr>
        <w:t xml:space="preserve">   * 在法律层面上，该合同自始不存在（*ab initio*），不产生任何既决执行力，法官在审判中亦应依职权（*ex officio*）认定其无效，无需当事人专门提出撤销抗辩。</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关联法律原则与法定条款</w:t>
      </w:r>
    </w:p>
    <w:p>
      <w:pPr>
        <w:spacing w:before="0" w:after="80" w:line="276" w:lineRule="auto"/>
      </w:pPr>
      <w:r>
        <w:rPr>
          <w:rFonts w:ascii="Arial" w:hAnsi="Arial"/>
          <w:color w:val="1E293B"/>
          <w:sz w:val="20"/>
        </w:rPr>
        <w:t>* **《民法典》第1338条：** 确立了“契约必须遵守原则”（*Pacta Sunt Servanda*）与“契约自由原则”。唯有在完全符合第1320条四项要件的前提下，合同方在当事人之间产生“相当于法律”的强制拘束力，且必须基于“诚实信用原则”（*te goeder trouw*）履行。</w:t>
      </w:r>
    </w:p>
    <w:p>
      <w:pPr>
        <w:spacing w:before="0" w:after="80" w:line="276" w:lineRule="auto"/>
      </w:pPr>
      <w:r>
        <w:rPr>
          <w:rFonts w:ascii="Arial" w:hAnsi="Arial"/>
          <w:color w:val="1E293B"/>
          <w:sz w:val="20"/>
        </w:rPr>
        <w:t>* **印尼第24/2009号法律：** 规定涉及印尼实体或公民的协议必须使用印尼语文本（第31条）；若未规范配置印尼语版本，极易导致合同在当地司法诉讼中被以违反“公共秩序与合法要件”为由主张无效。</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商业实操合规指引与风险防范</w:t>
      </w:r>
    </w:p>
    <w:p>
      <w:pPr>
        <w:spacing w:before="0" w:after="80" w:line="276" w:lineRule="auto"/>
      </w:pPr>
      <w:r>
        <w:rPr>
          <w:rFonts w:ascii="Arial" w:hAnsi="Arial"/>
          <w:color w:val="1E293B"/>
          <w:sz w:val="20"/>
        </w:rPr>
        <w:t>1. **严格审查签约主体权限（Due Diligence）：** 核实自然人的身份证明及年龄（年满18岁）；针对企业法人，务必核查公司章程（AD/ART）、董事会名单（NIB/AHU批文），确认签署人是否需取得监事会（Dewan Komisaris）或股东大会（RUPS）的决议批准。</w:t>
      </w:r>
    </w:p>
    <w:p>
      <w:pPr>
        <w:spacing w:before="0" w:after="80" w:line="276" w:lineRule="auto"/>
      </w:pPr>
      <w:r>
        <w:rPr>
          <w:rFonts w:ascii="Arial" w:hAnsi="Arial"/>
          <w:color w:val="1E293B"/>
          <w:sz w:val="20"/>
        </w:rPr>
        <w:t>2. **完善陈述与保证条款（Representations &amp; Warranties）：** 在合同中明确约定“各方签署该协议基于完全真实的自愿合意，不存在欺诈、胁迫或情势滥用”，以降低日后被以“意思表示瑕疵”为由申请撤销的诉讼风险。</w:t>
      </w:r>
    </w:p>
    <w:p>
      <w:pPr>
        <w:spacing w:before="0" w:after="80" w:line="276" w:lineRule="auto"/>
      </w:pPr>
      <w:r>
        <w:rPr>
          <w:rFonts w:ascii="Arial" w:hAnsi="Arial"/>
          <w:color w:val="1E293B"/>
          <w:sz w:val="20"/>
        </w:rPr>
        <w:t>3. **精准明确标的范围与履约参数：** 详细约定交付物规格、验收标准、款项计算方式及争议解决机制，杜绝标的物模糊不清所致的客观要件缺陷。</w:t>
      </w:r>
    </w:p>
    <w:p>
      <w:pPr>
        <w:spacing w:before="0" w:after="80" w:line="276" w:lineRule="auto"/>
      </w:pPr>
      <w:r>
        <w:rPr>
          <w:rFonts w:ascii="Arial" w:hAnsi="Arial"/>
          <w:color w:val="1E293B"/>
          <w:sz w:val="20"/>
        </w:rPr>
        <w:t>4. **全面排查行业法规强制性规定：** 确保交易架构未违反反垄断法（第5/1999号法律）、劳动基准法（经综合法修正案修正）、外汇及印尼盾强制结算令（第7/2011号《货币法》及印尼央行规章）。</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