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1338 KUHPerdata"</w:t>
      </w:r>
    </w:p>
    <w:p>
      <w:pPr>
        <w:spacing w:before="0" w:after="360"/>
        <w:jc w:val="center"/>
      </w:pPr>
      <w:r>
        <w:rPr>
          <w:rFonts w:ascii="Arial" w:hAnsi="Arial"/>
          <w:color w:val="64748B"/>
          <w:sz w:val="17"/>
        </w:rPr>
        <w:t>CATEGORY: CORPORATE &amp; INVESTMENT | DUAL LANGUAGE: ID ↔ ENGLISH | 02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I. TEKS STATUTER: PASAL 1338 KITAB UNDANG-UNDANG HUKUM PERDATA (KUHPerdata)</w:t>
      </w:r>
    </w:p>
    <w:p>
      <w:pPr>
        <w:spacing w:before="0" w:after="80" w:line="276" w:lineRule="auto"/>
      </w:pPr>
      <w:r>
        <w:rPr>
          <w:rFonts w:ascii="Arial" w:hAnsi="Arial"/>
          <w:color w:val="1E293B"/>
          <w:sz w:val="20"/>
        </w:rPr>
        <w:t>Pasal 1338 KUHPerdata mengatur:</w:t>
      </w:r>
    </w:p>
    <w:p>
      <w:pPr>
        <w:spacing w:before="0" w:after="80" w:line="276" w:lineRule="auto"/>
      </w:pPr>
      <w:r>
        <w:rPr>
          <w:rFonts w:ascii="Arial" w:hAnsi="Arial"/>
          <w:color w:val="1E293B"/>
          <w:sz w:val="20"/>
        </w:rPr>
        <w:t xml:space="preserve">&gt; *(1) Semua persetujuan yang dibuat sesuai dengan undang-undang berlaku sebagai undang-undang bagi mereka yang membuatnya.*  </w:t>
      </w:r>
    </w:p>
    <w:p>
      <w:pPr>
        <w:spacing w:before="0" w:after="80" w:line="276" w:lineRule="auto"/>
      </w:pPr>
      <w:r>
        <w:rPr>
          <w:rFonts w:ascii="Arial" w:hAnsi="Arial"/>
          <w:color w:val="1E293B"/>
          <w:sz w:val="20"/>
        </w:rPr>
        <w:t xml:space="preserve">&gt; *(2) Persetujuan itu tidak dapat ditarik kembali selain dengan kesepakatan kedua belah pihak, atau karena alasan-alasan yang ditentukan oleh undang-undang.*  </w:t>
      </w:r>
    </w:p>
    <w:p>
      <w:pPr>
        <w:spacing w:before="0" w:after="80" w:line="276" w:lineRule="auto"/>
      </w:pPr>
      <w:r>
        <w:rPr>
          <w:rFonts w:ascii="Arial" w:hAnsi="Arial"/>
          <w:color w:val="1E293B"/>
          <w:sz w:val="20"/>
        </w:rPr>
        <w:t>&gt; *(3) Persetujuan harus dilaksanakan dengan iktikad baik.*</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ASAS-ASAS HUKUM FUNDAMENTAL DALAM PASAL 1338</w:t>
      </w:r>
    </w:p>
    <w:p>
      <w:pPr>
        <w:spacing w:before="0" w:after="80" w:line="276" w:lineRule="auto"/>
      </w:pPr>
      <w:r>
        <w:rPr>
          <w:rFonts w:ascii="Arial" w:hAnsi="Arial"/>
          <w:color w:val="1E293B"/>
          <w:sz w:val="20"/>
        </w:rPr>
        <w:t>1. **Asas Kebebasan Berkontrak (*Party Autonomy / Beginsel der Contractsvrijheid*) – Ayat (1):**</w:t>
      </w:r>
    </w:p>
    <w:p>
      <w:pPr>
        <w:spacing w:before="0" w:after="80" w:line="276" w:lineRule="auto"/>
      </w:pPr>
      <w:r>
        <w:rPr>
          <w:rFonts w:ascii="Arial" w:hAnsi="Arial"/>
          <w:color w:val="1E293B"/>
          <w:sz w:val="20"/>
        </w:rPr>
        <w:t xml:space="preserve">   Para pihak memiliki kebebasan untuk:</w:t>
      </w:r>
    </w:p>
    <w:p>
      <w:pPr>
        <w:spacing w:before="0" w:after="80" w:line="276" w:lineRule="auto"/>
      </w:pPr>
      <w:r>
        <w:rPr>
          <w:rFonts w:ascii="Arial" w:hAnsi="Arial"/>
          <w:color w:val="1E293B"/>
          <w:sz w:val="20"/>
        </w:rPr>
        <w:t xml:space="preserve">   * Menentukan apakah akan membuat atau tidak membuat perjanjian;</w:t>
      </w:r>
    </w:p>
    <w:p>
      <w:pPr>
        <w:spacing w:before="0" w:after="80" w:line="276" w:lineRule="auto"/>
      </w:pPr>
      <w:r>
        <w:rPr>
          <w:rFonts w:ascii="Arial" w:hAnsi="Arial"/>
          <w:color w:val="1E293B"/>
          <w:sz w:val="20"/>
        </w:rPr>
        <w:t xml:space="preserve">   * Memilih pihak dengan siapa perjanjian diadakan;</w:t>
      </w:r>
    </w:p>
    <w:p>
      <w:pPr>
        <w:spacing w:before="0" w:after="80" w:line="276" w:lineRule="auto"/>
      </w:pPr>
      <w:r>
        <w:rPr>
          <w:rFonts w:ascii="Arial" w:hAnsi="Arial"/>
          <w:color w:val="1E293B"/>
          <w:sz w:val="20"/>
        </w:rPr>
        <w:t xml:space="preserve">   * Menentukan bentuk dan isi perjanjian;</w:t>
      </w:r>
    </w:p>
    <w:p>
      <w:pPr>
        <w:spacing w:before="0" w:after="80" w:line="276" w:lineRule="auto"/>
      </w:pPr>
      <w:r>
        <w:rPr>
          <w:rFonts w:ascii="Arial" w:hAnsi="Arial"/>
          <w:color w:val="1E293B"/>
          <w:sz w:val="20"/>
        </w:rPr>
        <w:t xml:space="preserve">   * Menentukan hukum yang berlaku dan forum penyelesaian sengketa sepanjang tidak melanggar undang-undang, ketertiban umum, dan kesusilaan.</w:t>
      </w:r>
    </w:p>
    <w:p>
      <w:pPr>
        <w:spacing w:before="0" w:after="80"/>
      </w:pPr>
    </w:p>
    <w:p>
      <w:pPr>
        <w:spacing w:before="0" w:after="80" w:line="276" w:lineRule="auto"/>
      </w:pPr>
      <w:r>
        <w:rPr>
          <w:rFonts w:ascii="Arial" w:hAnsi="Arial"/>
          <w:color w:val="1E293B"/>
          <w:sz w:val="20"/>
        </w:rPr>
        <w:t>2. **Asas *Pacta Sunt Servanda* – Ayat (1):**</w:t>
      </w:r>
    </w:p>
    <w:p>
      <w:pPr>
        <w:spacing w:before="0" w:after="80" w:line="276" w:lineRule="auto"/>
      </w:pPr>
      <w:r>
        <w:rPr>
          <w:rFonts w:ascii="Arial" w:hAnsi="Arial"/>
          <w:color w:val="1E293B"/>
          <w:sz w:val="20"/>
        </w:rPr>
        <w:t xml:space="preserve">   Perjanjian yang dibuat secara sah melahirkan kekuatan mengikat yang setara dengan undang-undang bagi para pihak (*binding force*). Pengadilan terikat untuk menghormati isi kontrak dan tidak boleh mengintervensinya secara sewenang-wenang.</w:t>
      </w:r>
    </w:p>
    <w:p>
      <w:pPr>
        <w:spacing w:before="0" w:after="80"/>
      </w:pPr>
    </w:p>
    <w:p>
      <w:pPr>
        <w:spacing w:before="0" w:after="80" w:line="276" w:lineRule="auto"/>
      </w:pPr>
      <w:r>
        <w:rPr>
          <w:rFonts w:ascii="Arial" w:hAnsi="Arial"/>
          <w:color w:val="1E293B"/>
          <w:sz w:val="20"/>
        </w:rPr>
        <w:t>3. **Asas Konsensualisme dan Ketidaktertarikan Sepihak (*Irrevocability*) – Ayat (2):**</w:t>
      </w:r>
    </w:p>
    <w:p>
      <w:pPr>
        <w:spacing w:before="0" w:after="80" w:line="276" w:lineRule="auto"/>
      </w:pPr>
      <w:r>
        <w:rPr>
          <w:rFonts w:ascii="Arial" w:hAnsi="Arial"/>
          <w:color w:val="1E293B"/>
          <w:sz w:val="20"/>
        </w:rPr>
        <w:t xml:space="preserve">   Kontrak mengikat sejak tercapainya kata sepakat dan tidak dapat dibatalkan atau diubah secara sepihak (*unilateral termination*), kecuali disetujui bersama atau terdapat alasan sah yang ditetapkan secara tegas oleh undang-undang (misalnya wanprestasi berdasarkan Pasal 1266 KUHPerdata atau keadaan memaksa/*force majeure* berdasarkan Pasal 1244–1245 KUHPerdata).</w:t>
      </w:r>
    </w:p>
    <w:p>
      <w:pPr>
        <w:spacing w:before="0" w:after="80"/>
      </w:pPr>
    </w:p>
    <w:p>
      <w:pPr>
        <w:spacing w:before="0" w:after="80" w:line="276" w:lineRule="auto"/>
      </w:pPr>
      <w:r>
        <w:rPr>
          <w:rFonts w:ascii="Arial" w:hAnsi="Arial"/>
          <w:color w:val="1E293B"/>
          <w:sz w:val="20"/>
        </w:rPr>
        <w:t>4. **Asas Iktikad Baik (*Good Faith / Te Goeder Trouw*) – Ayat (3):**</w:t>
      </w:r>
    </w:p>
    <w:p>
      <w:pPr>
        <w:spacing w:before="0" w:after="80" w:line="276" w:lineRule="auto"/>
      </w:pPr>
      <w:r>
        <w:rPr>
          <w:rFonts w:ascii="Arial" w:hAnsi="Arial"/>
          <w:color w:val="1E293B"/>
          <w:sz w:val="20"/>
        </w:rPr>
        <w:t xml:space="preserve">   * **Iktikad Baik Subyektif:** Sikap batin atau kejujuran para pihak pada saat perjanjian dibuat.</w:t>
      </w:r>
    </w:p>
    <w:p>
      <w:pPr>
        <w:spacing w:before="0" w:after="80" w:line="276" w:lineRule="auto"/>
      </w:pPr>
      <w:r>
        <w:rPr>
          <w:rFonts w:ascii="Arial" w:hAnsi="Arial"/>
          <w:color w:val="1E293B"/>
          <w:sz w:val="20"/>
        </w:rPr>
        <w:t xml:space="preserve">   * **Iktikad Baik Obyektif:** Standar kepatutan, keadilan, dan kelayakan dalam tahap pelaksanaan perjanjian. Pengadilan berwenang membatasi atau mengesampingkan klausul kontrak yang eksploitatif berdasarkan asas kepatutan (Pasal 1339 KUHPerdata).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HUBUNGAN DENGAN PASAL KUHPERDATA TERKAIT</w:t>
      </w:r>
    </w:p>
    <w:p>
      <w:pPr>
        <w:spacing w:before="0" w:after="80" w:line="276" w:lineRule="auto"/>
      </w:pPr>
      <w:r>
        <w:rPr>
          <w:rFonts w:ascii="Arial" w:hAnsi="Arial"/>
          <w:color w:val="1E293B"/>
          <w:sz w:val="20"/>
        </w:rPr>
        <w:t>Kekuatan mengikat penuh Pasal 1338 ayat (1) bersyarat mutlak pada kepatuhan terhadap pasal-pasal berikut:</w:t>
      </w:r>
    </w:p>
    <w:p>
      <w:pPr>
        <w:spacing w:before="0" w:after="80" w:line="276" w:lineRule="auto"/>
      </w:pPr>
      <w:r>
        <w:rPr>
          <w:rFonts w:ascii="Arial" w:hAnsi="Arial"/>
          <w:color w:val="1E293B"/>
          <w:sz w:val="20"/>
        </w:rPr>
        <w:t>* **Pasal 1320 KUHPerdata (Syarat Sahnya Perjanjian):**</w:t>
      </w:r>
    </w:p>
    <w:p>
      <w:pPr>
        <w:spacing w:before="0" w:after="80" w:line="276" w:lineRule="auto"/>
      </w:pPr>
      <w:r>
        <w:rPr>
          <w:rFonts w:ascii="Arial" w:hAnsi="Arial"/>
          <w:color w:val="1E293B"/>
          <w:sz w:val="20"/>
        </w:rPr>
        <w:t xml:space="preserve">  1. Kesepakatan mereka yang mengikatkan dirinya (*consensus*);</w:t>
      </w:r>
    </w:p>
    <w:p>
      <w:pPr>
        <w:spacing w:before="0" w:after="80" w:line="276" w:lineRule="auto"/>
      </w:pPr>
      <w:r>
        <w:rPr>
          <w:rFonts w:ascii="Arial" w:hAnsi="Arial"/>
          <w:color w:val="1E293B"/>
          <w:sz w:val="20"/>
        </w:rPr>
        <w:t xml:space="preserve">  2. Kecakapan untuk membuat suatu perikatan (*capacity*);</w:t>
      </w:r>
    </w:p>
    <w:p>
      <w:pPr>
        <w:spacing w:before="0" w:after="80" w:line="276" w:lineRule="auto"/>
      </w:pPr>
      <w:r>
        <w:rPr>
          <w:rFonts w:ascii="Arial" w:hAnsi="Arial"/>
          <w:color w:val="1E293B"/>
          <w:sz w:val="20"/>
        </w:rPr>
        <w:t xml:space="preserve">  3. Suatu pokok persoalan tertentu (*certain object*);</w:t>
      </w:r>
    </w:p>
    <w:p>
      <w:pPr>
        <w:spacing w:before="0" w:after="80" w:line="276" w:lineRule="auto"/>
      </w:pPr>
      <w:r>
        <w:rPr>
          <w:rFonts w:ascii="Arial" w:hAnsi="Arial"/>
          <w:color w:val="1E293B"/>
          <w:sz w:val="20"/>
        </w:rPr>
        <w:t xml:space="preserve">  4. Suatu sebab yang tidak terlarang (*lawful cause*).</w:t>
      </w:r>
    </w:p>
    <w:p>
      <w:pPr>
        <w:spacing w:before="0" w:after="80" w:line="276" w:lineRule="auto"/>
      </w:pPr>
      <w:r>
        <w:rPr>
          <w:rFonts w:ascii="Arial" w:hAnsi="Arial"/>
          <w:color w:val="1E293B"/>
          <w:sz w:val="20"/>
        </w:rPr>
        <w:t xml:space="preserve">  *Ketiadaan syarat 1 dan 2 mengakibatkan kontrak dapat dibatalkan (*voidable / vernietigbaar*); ketiadaan syarat 3 dan 4 mengakibatkan kontrak batal demi hukum (*null and void / nietig*).*</w:t>
      </w:r>
    </w:p>
    <w:p>
      <w:pPr>
        <w:spacing w:before="0" w:after="80" w:line="276" w:lineRule="auto"/>
      </w:pPr>
      <w:r>
        <w:rPr>
          <w:rFonts w:ascii="Arial" w:hAnsi="Arial"/>
          <w:color w:val="1E293B"/>
          <w:sz w:val="20"/>
        </w:rPr>
        <w:t>* **Pasal 1335 &amp; 1337 KUHPerdata:** Suatu sebab adalah terlarang apabila dilarang oleh undang-undang, atau berlawanan dengan kesusilaan baik atau ketertiban umum.</w:t>
      </w:r>
    </w:p>
    <w:p>
      <w:pPr>
        <w:spacing w:before="0" w:after="80" w:line="276" w:lineRule="auto"/>
      </w:pPr>
      <w:r>
        <w:rPr>
          <w:rFonts w:ascii="Arial" w:hAnsi="Arial"/>
          <w:color w:val="1E293B"/>
          <w:sz w:val="20"/>
        </w:rPr>
        <w:t>* **Pasal 1339 KUHPerdata:** Perjanjian tidak hanya mengikat untuk apa yang secara tegas dinyatakan di dalamnya, tetapi juga untuk segala sesuatu yang menurut sifat perjanjian diharuskan oleh kepatutan, kebiasaan, atau undang-undang.</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HAK DAN KEWAJIBAN PARA PIHAK</w:t>
      </w:r>
    </w:p>
    <w:p>
      <w:pPr>
        <w:spacing w:before="0" w:after="80" w:line="276" w:lineRule="auto"/>
      </w:pPr>
      <w:r>
        <w:rPr>
          <w:rFonts w:ascii="Arial" w:hAnsi="Arial"/>
          <w:color w:val="1E293B"/>
          <w:sz w:val="20"/>
        </w:rPr>
        <w:t>* **Hak Kreditor:** Menuntut pemenuhan prestasi (memberikan sesuatu, berbuat sesuatu, atau tidak berbuat sesuatu), menuntut ganti kerugian (biaya, rugi, dan bunga), atau memohonkan pembatalan kontrak apabila debitur wanprestasi (Pasal 1267 KUHPerdata).</w:t>
      </w:r>
    </w:p>
    <w:p>
      <w:pPr>
        <w:spacing w:before="0" w:after="80" w:line="276" w:lineRule="auto"/>
      </w:pPr>
      <w:r>
        <w:rPr>
          <w:rFonts w:ascii="Arial" w:hAnsi="Arial"/>
          <w:color w:val="1E293B"/>
          <w:sz w:val="20"/>
        </w:rPr>
        <w:t>* **Kewajiban Debitur:** Melaksanakan kewajiban kontraktual secara tepat waktu, penuh, dan dengan iktikad baik sesuai dengan syarat-syarat yang diperjanjikan.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 PANDUAN KEPATUHAN PRAKTIS &amp; MITIGASI RISIKO</w:t>
      </w:r>
    </w:p>
    <w:p>
      <w:pPr>
        <w:spacing w:before="0" w:after="80" w:line="276" w:lineRule="auto"/>
      </w:pPr>
      <w:r>
        <w:rPr>
          <w:rFonts w:ascii="Arial" w:hAnsi="Arial"/>
          <w:color w:val="1E293B"/>
          <w:sz w:val="20"/>
        </w:rPr>
        <w:t>1. **Klausul Pengakhiran Sepihak (*Unilateral Termination*):** Wajib mengesampingkan berlakunya Pasal 1266 ayat (2) dan (3) KUHPerdata secara tegas apabila para pihak menghendaki pemutusan kontrak tanpa penetapan/putusan pengadilan.</w:t>
      </w:r>
    </w:p>
    <w:p>
      <w:pPr>
        <w:spacing w:before="0" w:after="80" w:line="276" w:lineRule="auto"/>
      </w:pPr>
      <w:r>
        <w:rPr>
          <w:rFonts w:ascii="Arial" w:hAnsi="Arial"/>
          <w:color w:val="1E293B"/>
          <w:sz w:val="20"/>
        </w:rPr>
        <w:t>2. **Klausul Pembatasan Tanggung Jawab (*Exculpatory Clauses*):** Tidak boleh melanggar batas kepatutan dan ketertiban umum; klausul yang sepenuhnya melepaskan diri dari kesalahan yang disengaja (*dolus*) atau kelalaian berat (*culpa lata*) berpotensi dinilai batal demi hukum.</w:t>
      </w:r>
    </w:p>
    <w:p>
      <w:pPr>
        <w:spacing w:before="0" w:after="80" w:line="276" w:lineRule="auto"/>
      </w:pPr>
      <w:r>
        <w:rPr>
          <w:rFonts w:ascii="Arial" w:hAnsi="Arial"/>
          <w:color w:val="1E293B"/>
          <w:sz w:val="20"/>
        </w:rPr>
        <w:t>3. **Klausul Keadaan Memaksa (*Force Majeure*):** Rumuskan batasan dan peristiwa *force majeure* secara komprehensif untuk menghindari perselisihan terkait dalil pembelaan debitur jika terjadi kegagalan pemenuhan prestasi.</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I. STATUTORY TEXT: ARTICLE 1338 OF THE INDONESIAN CIVIL CODE (KUHPerdata)</w:t>
      </w:r>
    </w:p>
    <w:p>
      <w:pPr>
        <w:spacing w:before="0" w:after="80" w:line="276" w:lineRule="auto"/>
      </w:pPr>
      <w:r>
        <w:rPr>
          <w:rFonts w:ascii="Arial" w:hAnsi="Arial"/>
          <w:color w:val="1E293B"/>
          <w:sz w:val="20"/>
        </w:rPr>
        <w:t>Article 1338 of the Indonesian Civil Code provides:</w:t>
      </w:r>
    </w:p>
    <w:p>
      <w:pPr>
        <w:spacing w:before="0" w:after="80" w:line="276" w:lineRule="auto"/>
      </w:pPr>
      <w:r>
        <w:rPr>
          <w:rFonts w:ascii="Arial" w:hAnsi="Arial"/>
          <w:color w:val="1E293B"/>
          <w:sz w:val="20"/>
        </w:rPr>
        <w:t xml:space="preserve">&gt; *(1) All agreements legally made shall apply as law to those who have made them.*  </w:t>
      </w:r>
    </w:p>
    <w:p>
      <w:pPr>
        <w:spacing w:before="0" w:after="80" w:line="276" w:lineRule="auto"/>
      </w:pPr>
      <w:r>
        <w:rPr>
          <w:rFonts w:ascii="Arial" w:hAnsi="Arial"/>
          <w:color w:val="1E293B"/>
          <w:sz w:val="20"/>
        </w:rPr>
        <w:t xml:space="preserve">&gt; *(2) Such agreements cannot be revoked other than by mutual agreement of both parties, or for reasons that are declared sufficient by law.*  </w:t>
      </w:r>
    </w:p>
    <w:p>
      <w:pPr>
        <w:spacing w:before="0" w:after="80" w:line="276" w:lineRule="auto"/>
      </w:pPr>
      <w:r>
        <w:rPr>
          <w:rFonts w:ascii="Arial" w:hAnsi="Arial"/>
          <w:color w:val="1E293B"/>
          <w:sz w:val="20"/>
        </w:rPr>
        <w:t>&gt; *(3) Agreements must be performed in good faith.*</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 FUNDAMENTAL LEGAL DOCTRINES IN ARTICLE 1338</w:t>
      </w:r>
    </w:p>
    <w:p>
      <w:pPr>
        <w:spacing w:before="0" w:after="80" w:line="276" w:lineRule="auto"/>
      </w:pPr>
      <w:r>
        <w:rPr>
          <w:rFonts w:ascii="Arial" w:hAnsi="Arial"/>
          <w:color w:val="1E293B"/>
          <w:sz w:val="20"/>
        </w:rPr>
        <w:t>1. **Principle of Freedom of Contract (*Party Autonomy / Beginsel der Contractsvrijheid*) – Paragraph (1):**</w:t>
      </w:r>
    </w:p>
    <w:p>
      <w:pPr>
        <w:spacing w:before="0" w:after="80" w:line="276" w:lineRule="auto"/>
      </w:pPr>
      <w:r>
        <w:rPr>
          <w:rFonts w:ascii="Arial" w:hAnsi="Arial"/>
          <w:color w:val="1E293B"/>
          <w:sz w:val="20"/>
        </w:rPr>
        <w:t xml:space="preserve">   Parties possess the legal freedom to:</w:t>
      </w:r>
    </w:p>
    <w:p>
      <w:pPr>
        <w:spacing w:before="0" w:after="80" w:line="276" w:lineRule="auto"/>
      </w:pPr>
      <w:r>
        <w:rPr>
          <w:rFonts w:ascii="Arial" w:hAnsi="Arial"/>
          <w:color w:val="1E293B"/>
          <w:sz w:val="20"/>
        </w:rPr>
        <w:t xml:space="preserve">   * Decide whether to enter into an agreement or not;</w:t>
      </w:r>
    </w:p>
    <w:p>
      <w:pPr>
        <w:spacing w:before="0" w:after="80" w:line="276" w:lineRule="auto"/>
      </w:pPr>
      <w:r>
        <w:rPr>
          <w:rFonts w:ascii="Arial" w:hAnsi="Arial"/>
          <w:color w:val="1E293B"/>
          <w:sz w:val="20"/>
        </w:rPr>
        <w:t xml:space="preserve">   * Freely choose the contracting party;</w:t>
      </w:r>
    </w:p>
    <w:p>
      <w:pPr>
        <w:spacing w:before="0" w:after="80" w:line="276" w:lineRule="auto"/>
      </w:pPr>
      <w:r>
        <w:rPr>
          <w:rFonts w:ascii="Arial" w:hAnsi="Arial"/>
          <w:color w:val="1E293B"/>
          <w:sz w:val="20"/>
        </w:rPr>
        <w:t xml:space="preserve">   * Determine the format, terms, and conditions of the contract;</w:t>
      </w:r>
    </w:p>
    <w:p>
      <w:pPr>
        <w:spacing w:before="0" w:after="80" w:line="276" w:lineRule="auto"/>
      </w:pPr>
      <w:r>
        <w:rPr>
          <w:rFonts w:ascii="Arial" w:hAnsi="Arial"/>
          <w:color w:val="1E293B"/>
          <w:sz w:val="20"/>
        </w:rPr>
        <w:t xml:space="preserve">   * Select governing law and dispute resolution forums, provided these do not breach mandatory statutory law, public policy (*ketertiban umum*), or morality.</w:t>
      </w:r>
    </w:p>
    <w:p>
      <w:pPr>
        <w:spacing w:before="0" w:after="80"/>
      </w:pPr>
    </w:p>
    <w:p>
      <w:pPr>
        <w:spacing w:before="0" w:after="80" w:line="276" w:lineRule="auto"/>
      </w:pPr>
      <w:r>
        <w:rPr>
          <w:rFonts w:ascii="Arial" w:hAnsi="Arial"/>
          <w:color w:val="1E293B"/>
          <w:sz w:val="20"/>
        </w:rPr>
        <w:t>2. **Principle of *Pacta Sunt Servanda* – Paragraph (1):**</w:t>
      </w:r>
    </w:p>
    <w:p>
      <w:pPr>
        <w:spacing w:before="0" w:after="80" w:line="276" w:lineRule="auto"/>
      </w:pPr>
      <w:r>
        <w:rPr>
          <w:rFonts w:ascii="Arial" w:hAnsi="Arial"/>
          <w:color w:val="1E293B"/>
          <w:sz w:val="20"/>
        </w:rPr>
        <w:t xml:space="preserve">   Agreements that are legally formed create a binding force equivalent to statutory law between the contracting parties. Courts are bound to respect the terms of the contract and cannot arbitrarily interfere with or rewrite contractual terms.</w:t>
      </w:r>
    </w:p>
    <w:p>
      <w:pPr>
        <w:spacing w:before="0" w:after="80"/>
      </w:pPr>
    </w:p>
    <w:p>
      <w:pPr>
        <w:spacing w:before="0" w:after="80" w:line="276" w:lineRule="auto"/>
      </w:pPr>
      <w:r>
        <w:rPr>
          <w:rFonts w:ascii="Arial" w:hAnsi="Arial"/>
          <w:color w:val="1E293B"/>
          <w:sz w:val="20"/>
        </w:rPr>
        <w:t>3. **Principle of Consensualism and Irrevocability – Paragraph (2):**</w:t>
      </w:r>
    </w:p>
    <w:p>
      <w:pPr>
        <w:spacing w:before="0" w:after="80" w:line="276" w:lineRule="auto"/>
      </w:pPr>
      <w:r>
        <w:rPr>
          <w:rFonts w:ascii="Arial" w:hAnsi="Arial"/>
          <w:color w:val="1E293B"/>
          <w:sz w:val="20"/>
        </w:rPr>
        <w:t xml:space="preserve">   Contracts become legally binding upon mutual consent and cannot be revoked, rescinded, or amended unilaterally (*unilateral termination*), unless both parties consent or statutory law explicitly provides sufficient grounds (e.g., default under Article 1266 of the Civil Code or *force majeure* under Articles 1244–1245 of the Civil Code).</w:t>
      </w:r>
    </w:p>
    <w:p>
      <w:pPr>
        <w:spacing w:before="0" w:after="80"/>
      </w:pPr>
    </w:p>
    <w:p>
      <w:pPr>
        <w:spacing w:before="0" w:after="80" w:line="276" w:lineRule="auto"/>
      </w:pPr>
      <w:r>
        <w:rPr>
          <w:rFonts w:ascii="Arial" w:hAnsi="Arial"/>
          <w:color w:val="1E293B"/>
          <w:sz w:val="20"/>
        </w:rPr>
        <w:t>4. **Principle of Good Faith (*Te Goeder Trouw*) – Paragraph (3):**</w:t>
      </w:r>
    </w:p>
    <w:p>
      <w:pPr>
        <w:spacing w:before="0" w:after="80" w:line="276" w:lineRule="auto"/>
      </w:pPr>
      <w:r>
        <w:rPr>
          <w:rFonts w:ascii="Arial" w:hAnsi="Arial"/>
          <w:color w:val="1E293B"/>
          <w:sz w:val="20"/>
        </w:rPr>
        <w:t xml:space="preserve">   * **Subjective Good Faith:** The state of mind, honesty, and absence of fraudulent intent at the inception/formation of the contract.</w:t>
      </w:r>
    </w:p>
    <w:p>
      <w:pPr>
        <w:spacing w:before="0" w:after="80" w:line="276" w:lineRule="auto"/>
      </w:pPr>
      <w:r>
        <w:rPr>
          <w:rFonts w:ascii="Arial" w:hAnsi="Arial"/>
          <w:color w:val="1E293B"/>
          <w:sz w:val="20"/>
        </w:rPr>
        <w:t xml:space="preserve">   * **Objective Good Faith:** Standards of reasonableness, equity, and fairness throughout contractual performance. Indonesian courts hold equitable authority to alter or set aside exploitative or unconscionable contractual terms pursuant to Article 1339 of the Civil Code.</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III. INTERACTION WITH RELATED CIVIL CODE PROVISIONS</w:t>
      </w:r>
    </w:p>
    <w:p>
      <w:pPr>
        <w:spacing w:before="0" w:after="80" w:line="276" w:lineRule="auto"/>
      </w:pPr>
      <w:r>
        <w:rPr>
          <w:rFonts w:ascii="Arial" w:hAnsi="Arial"/>
          <w:color w:val="1E293B"/>
          <w:sz w:val="20"/>
        </w:rPr>
        <w:t>The full legal effect of Article 1338(1) is strictly contingent upon satisfaction of the following statutory requirements:</w:t>
      </w:r>
    </w:p>
    <w:p>
      <w:pPr>
        <w:spacing w:before="0" w:after="80" w:line="276" w:lineRule="auto"/>
      </w:pPr>
      <w:r>
        <w:rPr>
          <w:rFonts w:ascii="Arial" w:hAnsi="Arial"/>
          <w:color w:val="1E293B"/>
          <w:sz w:val="20"/>
        </w:rPr>
        <w:t>* **Article 1320 of the Indonesian Civil Code (Validity Requirements of Contracts):**</w:t>
      </w:r>
    </w:p>
    <w:p>
      <w:pPr>
        <w:spacing w:before="0" w:after="80" w:line="276" w:lineRule="auto"/>
      </w:pPr>
      <w:r>
        <w:rPr>
          <w:rFonts w:ascii="Arial" w:hAnsi="Arial"/>
          <w:color w:val="1E293B"/>
          <w:sz w:val="20"/>
        </w:rPr>
        <w:t xml:space="preserve">  1. Mutual consent of the parties (*consensus*);</w:t>
      </w:r>
    </w:p>
    <w:p>
      <w:pPr>
        <w:spacing w:before="0" w:after="80" w:line="276" w:lineRule="auto"/>
      </w:pPr>
      <w:r>
        <w:rPr>
          <w:rFonts w:ascii="Arial" w:hAnsi="Arial"/>
          <w:color w:val="1E293B"/>
          <w:sz w:val="20"/>
        </w:rPr>
        <w:t xml:space="preserve">  2. Legal capacity to contract (*capacity*);</w:t>
      </w:r>
    </w:p>
    <w:p>
      <w:pPr>
        <w:spacing w:before="0" w:after="80" w:line="276" w:lineRule="auto"/>
      </w:pPr>
      <w:r>
        <w:rPr>
          <w:rFonts w:ascii="Arial" w:hAnsi="Arial"/>
          <w:color w:val="1E293B"/>
          <w:sz w:val="20"/>
        </w:rPr>
        <w:t xml:space="preserve">  3. A specific/determinate subject matter (*certain object*);</w:t>
      </w:r>
    </w:p>
    <w:p>
      <w:pPr>
        <w:spacing w:before="0" w:after="80" w:line="276" w:lineRule="auto"/>
      </w:pPr>
      <w:r>
        <w:rPr>
          <w:rFonts w:ascii="Arial" w:hAnsi="Arial"/>
          <w:color w:val="1E293B"/>
          <w:sz w:val="20"/>
        </w:rPr>
        <w:t xml:space="preserve">  4. A lawful cause (*lawful cause*).</w:t>
      </w:r>
    </w:p>
    <w:p>
      <w:pPr>
        <w:spacing w:before="0" w:after="80" w:line="276" w:lineRule="auto"/>
      </w:pPr>
      <w:r>
        <w:rPr>
          <w:rFonts w:ascii="Arial" w:hAnsi="Arial"/>
          <w:color w:val="1E293B"/>
          <w:sz w:val="20"/>
        </w:rPr>
        <w:t xml:space="preserve">  *Failure to fulfill conditions 1 and 2 renders the contract voidable (*vernietigbaar*); failure to fulfill conditions 3 and 4 renders the contract null and void *ab initio* (*nietig).*</w:t>
      </w:r>
    </w:p>
    <w:p>
      <w:pPr>
        <w:spacing w:before="0" w:after="80" w:line="276" w:lineRule="auto"/>
      </w:pPr>
      <w:r>
        <w:rPr>
          <w:rFonts w:ascii="Arial" w:hAnsi="Arial"/>
          <w:color w:val="1E293B"/>
          <w:sz w:val="20"/>
        </w:rPr>
        <w:t>* **Articles 1335 &amp; 1337 of the Indonesian Civil Code:** A cause is prohibited if it is banned by statutory law, or is contrary to good morals or public policy.</w:t>
      </w:r>
    </w:p>
    <w:p>
      <w:pPr>
        <w:spacing w:before="0" w:after="80" w:line="276" w:lineRule="auto"/>
      </w:pPr>
      <w:r>
        <w:rPr>
          <w:rFonts w:ascii="Arial" w:hAnsi="Arial"/>
          <w:color w:val="1E293B"/>
          <w:sz w:val="20"/>
        </w:rPr>
        <w:t>* **Article 1339 of the Indonesian Civil Code:** Contracts bind parties not only to what is expressly stipulated, but also to everything required by equity (*kepatutan*), custom (*kebiasaan*), and statutory law according to the nature of the obligation.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IV. RIGHTS AND OBLIGATIONS OF THE PARTIES</w:t>
      </w:r>
    </w:p>
    <w:p>
      <w:pPr>
        <w:spacing w:before="0" w:after="80" w:line="276" w:lineRule="auto"/>
      </w:pPr>
      <w:r>
        <w:rPr>
          <w:rFonts w:ascii="Arial" w:hAnsi="Arial"/>
          <w:color w:val="1E293B"/>
          <w:sz w:val="20"/>
        </w:rPr>
        <w:t>* **Creditor Rights:** Right to demand exact contractual performance (to deliver, perform, or refrain from performing), claim statutory/contractual damages (costs, losses, and interest), or petition for judicial rescission if the debtor commits a breach/default (Article 1267 of the Civil Code).</w:t>
      </w:r>
    </w:p>
    <w:p>
      <w:pPr>
        <w:spacing w:before="0" w:after="80" w:line="276" w:lineRule="auto"/>
      </w:pPr>
      <w:r>
        <w:rPr>
          <w:rFonts w:ascii="Arial" w:hAnsi="Arial"/>
          <w:color w:val="1E293B"/>
          <w:sz w:val="20"/>
        </w:rPr>
        <w:t>* **Debtor Obligations:** Obligation to perform contractual undertakings timely, strictly, and in good faith, in accordance with the specified terms and conditions.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V. ACTIONABLE COMPLIANCE GUIDANCE &amp; RISK MITIGATION</w:t>
      </w:r>
    </w:p>
    <w:p>
      <w:pPr>
        <w:spacing w:before="0" w:after="80" w:line="276" w:lineRule="auto"/>
      </w:pPr>
      <w:r>
        <w:rPr>
          <w:rFonts w:ascii="Arial" w:hAnsi="Arial"/>
          <w:color w:val="1E293B"/>
          <w:sz w:val="20"/>
        </w:rPr>
        <w:t>1. **Unilateral Termination Clauses:** Drafters must expressly waive Articles 1266 paragraphs (2) and (3) of the Indonesian Civil Code if the parties desire the legal right to terminate the contract out of court without obtaining a prior court decree.</w:t>
      </w:r>
    </w:p>
    <w:p>
      <w:pPr>
        <w:spacing w:before="0" w:after="80" w:line="276" w:lineRule="auto"/>
      </w:pPr>
      <w:r>
        <w:rPr>
          <w:rFonts w:ascii="Arial" w:hAnsi="Arial"/>
          <w:color w:val="1E293B"/>
          <w:sz w:val="20"/>
        </w:rPr>
        <w:t>2. **Limitation of Liability / Exculpatory Clauses:** Clauses cannot violate mandatory law or public policy; provisions that attempt to exonerate a party from its own intentional misconduct (*dolus*) or gross negligence (*culpa lata*) are vulnerable to being struck down as null and void.</w:t>
      </w:r>
    </w:p>
    <w:p>
      <w:pPr>
        <w:spacing w:before="0" w:after="80" w:line="276" w:lineRule="auto"/>
      </w:pPr>
      <w:r>
        <w:rPr>
          <w:rFonts w:ascii="Arial" w:hAnsi="Arial"/>
          <w:color w:val="1E293B"/>
          <w:sz w:val="20"/>
        </w:rPr>
        <w:t>3. **Force Majeure Provisions:** Drafters must clearly delineate the categories and notice protocols of *force majeure* events to mitigate risks associated with statutory defenses against default claims under Articles 1244–1245 of the Civil Code.</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