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rFonts w:ascii="Arial" w:hAnsi="Arial"/>
          <w:b/>
          <w:color w:val="0F172A"/>
          <w:sz w:val="28"/>
        </w:rPr>
        <w:t>hukum.live</w:t>
      </w:r>
    </w:p>
    <w:p>
      <w:pPr>
        <w:spacing w:before="0" w:after="160"/>
        <w:jc w:val="center"/>
      </w:pPr>
      <w:r>
        <w:rPr>
          <w:rFonts w:ascii="Arial" w:hAnsi="Arial"/>
          <w:b/>
          <w:color w:val="B45309"/>
          <w:sz w:val="22"/>
        </w:rPr>
        <w:t>Statutory Laws &amp; Regulations Lookup: "Pasal 1365 KUHPdt"</w:t>
      </w:r>
    </w:p>
    <w:p>
      <w:pPr>
        <w:spacing w:before="0" w:after="360"/>
        <w:jc w:val="center"/>
      </w:pPr>
      <w:r>
        <w:rPr>
          <w:rFonts w:ascii="Arial" w:hAnsi="Arial"/>
          <w:color w:val="64748B"/>
          <w:sz w:val="17"/>
        </w:rPr>
        <w:t>CATEGORY: CORPORATE &amp; INVESTMENT | DUAL LANGUAGE: ID ↔ ENGLISH | 06 November 2026</w:t>
      </w:r>
    </w:p>
    <w:p>
      <w:pPr>
        <w:spacing w:before="280" w:after="120"/>
      </w:pPr>
      <w:r>
        <w:rPr>
          <w:rFonts w:ascii="Arial" w:hAnsi="Arial"/>
          <w:b/>
          <w:color w:val="0F172A"/>
          <w:sz w:val="24"/>
        </w:rPr>
        <w:t>1. Analisis Hukum &amp; Rujukan Statuta (Bahasa Indonesia)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ANALISIS HUKUM &amp; PASAL TERKAIT (BAHASA INDONESIA)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Teks Statuter Pasal 1365 Kitab Undang-Undang Hukum Perdata (KUHPerdata)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*"Tiap perbuatan yang melanggar hukum dan membawa kerugian kepada orang lain, mewajibkan orang yang menimbulkan kerugian itu karena kesalahannya untuk menggantikan kerugian tersebut."*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Unsur-Unsur Yuridis Perbuatan Melawan Hukum (PMH)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Guna membuktikan pertanggungjawaban perdata berdasarkan Pasal 1365 KUHPerdata (*onrechtmatige daad*), penggugat wajib membuktikan pemenuhan 5 (lima) unsur kumulatif berikut: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**Adanya Suatu Perbuatan (*Daad*)**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Meliputi tindakan aktif (berbuat sesuatu) maupun tindakan pasif (tidak berbuat sesuatu/kelalaian ketika terdapat kewajiban hukum untuk bertindak).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**Perbuatan Tersebut Bersifat Melawan Hukum (*Onrechtmatig*)**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Berdasarkan doktrin hukum modern dan yurisprudensi tetap (merujuk pada *Arrest Hoge Raad 31 Januari 1919*), kriteria "melawan hukum" tidak lagi diartikan secara sempit hanya sebagai pelanggaran undang-undang tertulis, melainkan mencakup perbuatan yang: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Melanggar hak subjektif orang lain;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Bertentangan dengan kewajiban hukum si pelaku;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Bertentangan dengan kesusilaan umum (*goede zeden*); atau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Bertentangan dengan kepatutan, ketelitian, dan kehati-hatian yang seharusnya dimiliki seseorang dalam pergaulan masyarakat terhadap orang lain atau barang miliknya.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**Adanya Kesalahan (*Schuld*)**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Pelaku harus memiliki kapasitas pertanggungjawaban hukum.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Kesalahan dapat berbentuk kesengajaan (*opzet/dolus*) maupun kelalaian/kealpaan (*culpa/nalatigheid* sebagaimana dipertegas dalam Pasal 1366 KUHPerdata).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Kesalahan gugur apabila terdapat alasan pembenar atau pemaaf (misal: keadaan darurat, pembelaan terpaksa, atau *force majeure*).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**Adanya Kerugian (*Schade*)**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**Kerugian Materiil:** Kerugian nyata yang diderita (*damnum emergens*) dan keuntungan yang diharapkan hilang (*lucrum cessans*).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**Kerugian Immaterial (Moril):** Pengurangan kenyamanan hidup, penderitaan batin, ketakutan, atau rusaknya reputasi/kehormatan.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**Adanya Hubungan Kausal antara Perbuatan dan Kerugian (*Causaal Verband*)**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Harus terdapat hubungan sebab-akibat langsung antara perbuatan melawan hukum yang dilakukan pelaku dengan kerugian yang timbul pada korban.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Menggunakan ajaran kausalitas yang relevan, terutama teori *adequat* (akibat yang secara wajar dapat diperkirakan timbul dari perbuatan tersebut).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Hubungan Statuter dengan Ketentuan Terkait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**Pasal 1366 KUHPerdata:** Menegaskan bahwa seseorang bertanggung jawab tidak hanya atas kerugian yang disebabkan perbuatannya dengan sengaja, tetapi juga atas kelalaian atau kekuranghati-hatiannya.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**Pasal 1367 KUHPerdata:** Mengatur tentang *vicarious liability* (tanggung jawab pengganti atas perbuatan orang lain yang berada di bawah pengawasannya, seperti bawahan/karyawan, anak belum dewasa, atau barang yang berada di bawah penguasaannya).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**Pembedaan dengan Wanprestasi (Pasal 1243 KUHPerdata):** PMH timbul demi hukum tanpa mensyaratkan adanya hubungan kontraktual sebelumnya, sedangkan wanprestasi didasarkan pada cidera janji atas suatu perikatan yang lahir dari perjanjian.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Pedoman Praktis Pembuktian &amp; Kepatuhan Litigasi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**Beban Pembuktian (*Burden of Proof*):** Berdasarkan Pasal 1865 KUHPerdata dan Pasal 163 *Herziene Inlandsch Reglement* (HIR), asas *actori incumbit probatio* berlaku penuh: barang siapa mendalilkan mempunyai hak atau mendalilkan suatu perbuatan untuk meneguhkan haknya, wajib membuktikan adanya perbuatan dan kerugian tersebut.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**Kuantifikasi Kerugian:** Penggugat harus merinci secara tegas dalil kerugian dalam posita dan petitum gugatan serta melampirkan alat bukti yang sah (surat, saksi, ahli) guna menghindari gugatan dinyatakan kabur (*obscuur libel*).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---</w:t>
      </w:r>
    </w:p>
    <w:p>
      <w:pPr>
        <w:spacing w:before="280" w:after="120"/>
      </w:pPr>
      <w:r>
        <w:rPr>
          <w:rFonts w:ascii="Arial" w:hAnsi="Arial"/>
          <w:b/>
          <w:color w:val="B45309"/>
          <w:sz w:val="24"/>
        </w:rPr>
        <w:t>2. Parallel Statutory Analysis &amp; Translation (English)</w:t>
      </w: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LEGAL ANALYSIS &amp; STATUTORY PROVISIONS (ENGLISH)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1. Statutory Text of Article 1365 of the Indonesian Civil Code (KUHPerdata)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&gt; *"Every unlawful act that causes damage to another person obliges the person whose fault caused the damage to compensate for such damage."*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2. Legal Elements of an Unlawful Act (*Tort / Onrechtmatige Daad*)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To establish civil liability pursuant to Article 1365 of the Indonesian Civil Code, a claimant must prove the satisfaction of the following 5 (five) cumulative elements:</w:t>
      </w:r>
    </w:p>
    <w:p>
      <w:pPr>
        <w:spacing w:before="0" w:after="80"/>
      </w:pP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1. **Existence of an Act or Omission (*Daad*)**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Encompasses positive acts (commission) as well as omissions (failure to act when there is a recognized legal duty to do so).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2. **The Act Must Be Unlawful (*Onrechtmatig*)**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Under modern jurisprudence and authoritative precedent (rooted in the Dutch *Hoge Raad Landmark Judgment of January 31, 1919*), "unlawfulness" is not construed strictly as a violation of black-letter statutory law, but extends to acts that: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Infringe upon the subjective rights of another;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Breach the statutory or legal duty of the tortfeasor;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Contravene public morality (*goede zeden*); or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Violate the standard of care, prudence, and reasonableness expected of a person in societal interactions concerning the person or property of another.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3. **Fault or Culpability (*Schuld*)**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The tortfeasor must possess legal capacity to be held liable.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Fault may manifest as intent (*dolus*) or negligence/carelessness (*culpa*, as codified in Article 1366 of the Indonesian Civil Code).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Fault is vitiated where a valid legal justification or excuse applies (e.g., state of necessity, self-defense, or *force majeure*).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4. **Actual Damage / Loss Incurred (*Schade*)**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**Material Damages:** Actual monetary losses sustained (*damnum emergens*) and loss of anticipated legitimate profits (*lucrum cessans*).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**Immaterial (Moral) Damages:** Loss of amenity, mental anguish, distress, injury to reputation, or personal indignity.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5. **Causal Relationship Between Act and Damage (*Causaal Verband*)**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A direct causal nexus must link the unlawful act directly to the damages suffered.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 xml:space="preserve">   * Indonesian courts generally adopt the adequacy theory (*adequate veroorzaking*), where consequences must reasonably and foreseeably flow from the tortious conduct.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3. Statutory Correlation with Associated Provisions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**Article 1366 of the Indonesian Civil Code:** Explicitly establishes that liability arises not only from deliberate acts, but also from actionable negligence or lack of due diligence.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**Article 1367 of the Indonesian Civil Code:** Governs vicarious liability, holding parties accountable for unlawful acts committed by individuals under their supervision (e.g., employers for employees, parents for minor children, or custodians for property under their control).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**Distinction from Breach of Contract (*Wanprestasi* under Article 1243):** An unlawful act (PMH) arises by operation of law independent of any prior contractual relationship, whereas a breach of contract requires an antecedent consensual agreement whose obligations were breached.</w:t>
      </w:r>
    </w:p>
    <w:p>
      <w:pPr>
        <w:spacing w:before="0" w:after="80"/>
      </w:pPr>
    </w:p>
    <w:p>
      <w:pPr>
        <w:spacing w:before="160" w:after="80" w:line="276" w:lineRule="auto"/>
      </w:pPr>
      <w:r>
        <w:rPr>
          <w:rFonts w:ascii="Arial" w:hAnsi="Arial"/>
          <w:b/>
          <w:color w:val="0F172A"/>
          <w:sz w:val="21"/>
        </w:rPr>
        <w:t>#### 4. Practical Litigation &amp; Evidentiary Guidance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**Burden of Proof:** Pursuant to Article 1865 of the Indonesian Civil Code and Article 163 of the HIR (*Herziene Inlandsch Reglement*), the principle *actori incumbit probatio* applies strictly: the party asserting a right or alleging an unlawful act bears the burden of establishing every element thereof.</w:t>
      </w:r>
    </w:p>
    <w:p>
      <w:pPr>
        <w:spacing w:before="0" w:after="80" w:line="276" w:lineRule="auto"/>
      </w:pPr>
      <w:r>
        <w:rPr>
          <w:rFonts w:ascii="Arial" w:hAnsi="Arial"/>
          <w:color w:val="1E293B"/>
          <w:sz w:val="20"/>
        </w:rPr>
        <w:t>* **Quantification of Damages:** The plaintiff must substantiate the exact causal connection and value of the damages claimed within both the *posita* (factual allegations) and the *petitum* (prayers for relief), supported by admissible evidence (documents, witnesses, expert testimony), failing which the claim may be dismissed as vague and defective (*obscuur libel*).</w:t>
      </w:r>
    </w:p>
    <w:p>
      <w:pPr>
        <w:spacing w:before="400" w:after="0"/>
      </w:pPr>
      <w:r>
        <w:rPr>
          <w:rFonts w:ascii="Arial" w:hAnsi="Arial"/>
          <w:i/>
          <w:color w:val="94A3B8"/>
          <w:sz w:val="16"/>
        </w:rPr>
        <w:t>Disclaimer: Generated by hukum.live for educational and statutory guidance purposes.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