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rFonts w:ascii="Arial" w:hAnsi="Arial"/>
          <w:b/>
          <w:color w:val="0F172A"/>
          <w:sz w:val="28"/>
        </w:rPr>
        <w:t>hukum.live</w:t>
      </w:r>
    </w:p>
    <w:p>
      <w:pPr>
        <w:spacing w:before="0" w:after="160"/>
        <w:jc w:val="center"/>
      </w:pPr>
      <w:r>
        <w:rPr>
          <w:rFonts w:ascii="Arial" w:hAnsi="Arial"/>
          <w:b/>
          <w:color w:val="B45309"/>
          <w:sz w:val="22"/>
        </w:rPr>
        <w:t>Statutory Laws &amp; Regulations Lookup: "Pasal 156a KUHP"</w:t>
      </w:r>
    </w:p>
    <w:p>
      <w:pPr>
        <w:spacing w:before="0" w:after="360"/>
        <w:jc w:val="center"/>
      </w:pPr>
      <w:r>
        <w:rPr>
          <w:rFonts w:ascii="Arial" w:hAnsi="Arial"/>
          <w:color w:val="64748B"/>
          <w:sz w:val="17"/>
        </w:rPr>
        <w:t>CATEGORY: CORPORATE &amp; INVESTMENT | DUAL LANGUAGE: ID ↔ MANDARIN CHINESE (中文) | 06 November 2026</w:t>
      </w:r>
    </w:p>
    <w:p>
      <w:pPr>
        <w:spacing w:before="280" w:after="120"/>
      </w:pPr>
      <w:r>
        <w:rPr>
          <w:rFonts w:ascii="Arial" w:hAnsi="Arial"/>
          <w:b/>
          <w:color w:val="0F172A"/>
          <w:sz w:val="24"/>
        </w:rPr>
        <w:t>1. Analisis Hukum &amp; Rujukan Statuta (Bahasa Indonesia)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ANALISIS HUKUM &amp; PASAL TERKAIT (BAHASA INDONESIA)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1. Dasar Hukum dan Teks Otentik Pasal 156a KUHP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Ketentuan Pasal 156a Kitab Undang-Undang Hukum Pidana (KUHP - WvS / UU No. 1 Tahun 1946) disisipkan ke dalam KUHP melalui Pasal 4 Penetapan Presiden Republik Indonesia No. 1/PNPS Tahun 1965 tentang Pencegahan Penyalahgunaan dan/atau Penodaan Agama, yang kemudian diundangkan menjadi undang-undang berdasarkan Undang-Undang No. 5 Tahun 1969.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**Teks Pasal 156a KUHP:**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*"Dipidana dengan pidana penjara selama-lamanya lima tahun barang siapa dengan sengaja di muka umum mengeluarkan perasaan atau melakukan perbuatan:*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*a. yang pada pokoknya bersifat permusuhan, penyalahgunaan atau penodaan terhadap suatu agama yang dianut di Indonesia;*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*b. dengan maksud agar supaya orang tidak menganut agama apa pun juga, yang bersendikan Ketuhanan Yang Maha Esa."*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2. Unsur-Unsur Tindak Pidana (Delik)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Secara doktriner dan yuridis, Pasal 156a KUHP memuat unsur-unsur delik sebagai berikut: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**Unsur Subjektif:**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**Dengan sengaja (*dolus*):** Pelaku menghendaki dan menginsafi (*willen en wetens*) perbuatan mengeluarkan perasaan atau tindakan tersebut beserta akibatnya.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**Maksud/Tujuan khusus (khusus untuk Butir b):** Memiliki *oogmerk* atau intensi agar orang lain tidak memeluk agama apa pun (mempromosikan ateisme di muka umum).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**Unsur Objektif:**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**Barang siapa:** Setiap orang sebagai subjek hukum pidana yang mampu bertanggung jawab (*toerekeningsvatbaar*).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**Di muka umum (*openbaar*):** Dilakukan di tempat yang dapat dilihat, didengar, atau diakses oleh publik (termasuk perluasan melalui ruang siber/media elektronik sesuai keterkaitan dengan UU ITE).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**Bentuk Perbuatan:** Mengeluarkan perasaan (pernyataan lisan/tulisan) atau melakukan perbuatan konkrit.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**Sifat Perbuatan (Kualifikasi Alternatif):**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*Huruf a:* Bersifat permusuhan (*vijandigheid*), penyalahgunaan (*oneigenlijk gebruik*), atau penodaan (*ontheiliging/belediging*) terhadap agama yang dipeluk di Indonesia.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*Huruf b:* Membujuk, memengaruhi, atau mengarahkan orang agar menjadi tidak beragama.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3. Hubungan Hukum dan Transisi Regulasi (KUHP Baru / UU No. 1 Tahun 2023)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Undang-Undang No. 1 Tahun 2023 tentang Kitab Undang-Undang Hukum Pidana (KUHP Nasional) mereformasi ketentuan penodaan agama. Saat KUHP Baru berlaku efektif (2 Januari 2026):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Ketentuan Pasal 156a KUHP lama dicabut dan digantikan oleh Bab VII (Tindak Pidana terhadap Agama, Kepercayaan, dan Kehidupan Beragama atau Kepercayaan), khususnya: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**Pasal 300 UU 1/2023:** Perbuatan di muka umum yang bersifat permusuhan, menyatakan kebencian atau permusuhan, atau hasutan untuk melakukan diskriminasi/kekerasan terhadap agama/kepercayaan (ancaman pidana penjara maksimal 3 tahun atau denda Kategori IV).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**Pasal 301 UU 1/2023:** Penodaan terhadap ajaran agama atau kepercayaan dengan pidana penjara maksimal 3 tahun.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**Pasal 302 UU 1/2023:** Penghasutan untuk tidak beragama/berkepercayaan di muka umum.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4. Implikasi Praktis dan Panduan Kepatuhan (*Compliance Guidance*)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Bagi entitas korporasi, ekspatriat, media, dan individu: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**Penyaringan Konten Publik (*Public Discourse Clearance*):** Semua publikasi pemasaran, materi komunikasi publik, pertunjukan seni, atau siniar (*podcast*) wajib menghindari narasi yang menafsirkan doktrin keagamaan secara peyoratif atau menistakan simbol/ritual agama yang diakui di Indonesia.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**Kepatuhan Ketenagakerjaan &amp; Keberagaman (*Workplace Harassment &amp; Religion*):** Perusahaan wajib merumuskan peraturan perusahaan (*employee handbook*) yang melarang diskriminasi atau ujaran kebencian berbasis agama di lingkungan kerja guna menghindari pertanggungjawaban pidana perseorangan karyawan di ruang publik.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**Konvergensi UU ITE:** Unggahan pada media sosial yang memuat materi Pasal 156a KUHP dapat dijerat secara kumulatif dengan Pasal 28 ayat (2) jo. Pasal 45A ayat (2) UU ITE (Ujaran Kebencian SARA).</w:t>
      </w:r>
    </w:p>
    <w:p>
      <w:pPr>
        <w:spacing w:before="280" w:after="120"/>
      </w:pPr>
      <w:r>
        <w:rPr>
          <w:rFonts w:ascii="Arial" w:hAnsi="Arial"/>
          <w:b/>
          <w:color w:val="B45309"/>
          <w:sz w:val="24"/>
        </w:rPr>
        <w:t>2. Parallel Statutory Analysis &amp; Translation (Mandarin Chinese (中文))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LEGAL ANALYSIS &amp; STATUTORY PROVISIONS (MANDARIN CHINESE (中文))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1. 法律渊源与《刑法典》（KUHP）第156条a款法定原文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印尼《刑法典》（KUHP - WvS / 1946年第1号法律）第156条a款系通过1965年关于防止滥用和/或亵渎宗教的第1/PNPS号总统令第4条增设，并随后依据1969年第5号法律正式确立为国家法律。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**第156条a款法定原文：**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*“任何人故意在公众面前发表言论或实施行为，符合下列情形之一的，处最高五年有期徒刑：*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*a. 旨在大体上对印度尼西亚所信奉的宗教具有敌意、滥用或亵渎性质；*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*b. 旨在使他人不信仰任何基于‘信仰独一上帝’（Ketuhanan Yang Maha Esa）原则的宗教。”*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2. 犯罪构成要件（Delik）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在法理学和司法实践中，该条款包含以下构成要件：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**主观要件（Subjektif）：**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**故意（*Dolus*）：** 行为人明知并希望（*willen en wetens*）实施该等发表言论或作为的行为，并对其危害结果持希望或放任态度。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**特定目的（仅限b项）：** 具备促使他人脱离任何宗教信仰（在公开场合宣扬无神论）的特定意图（*oogmerk*）。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**客观要件（Objektif）：**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**主体（任何人 / *Barang siapa*）：** 具备刑事责任能力（*toerekeningsvatbaar*）的自然人。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**公然/在公众面前（*Di muka umum*）：** 行为发生于公众可目睹、闻及或进入的场所（依司法实践，亦延伸涵盖互联网络/电子媒介空间）。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**行为形式：** 发表思想/情感（口头或书面陈述）或实施具体举动。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**行为性质（选择性要件）：**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*a项：* 对印尼法定认可的宗教表现出敌视（*vijandigheid*）、歪曲/滥用（*oneigenlijk gebruik*）或亵渎/侮辱（*ontheiliging*）；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*b项：* 诱导、劝说或唆使他人成为不信仰任何宗教者。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3. 法律沿革与新旧法过渡（印尼《新刑法典》/ 2023年第1号法律）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印尼颁布的《刑法典》（2023年第1号法律，简称“新刑法典”）对宗教犯罪进行了系统性重构。自新刑法典正式生效起（2026年1月2日）：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原KUHP第156条a款将被废止，由新法第七章（侵犯宗教、信仰及宗教生活罪）替代，核心条款包括：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**2023年第1号法律第300条：** 在公众面前从事敌对行为、表达仇恨或煽动针对宗教/信仰实施歧视或暴力的行为（最高处3年监禁或第四级罚金）。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**2023年第1号法律第301条：** 公然亵渎宗教教义或信仰，最高处3年监禁。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**2023年第1号法律第302条：** 公然煽动他人放弃宗教信仰或成为无信仰者。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4. 商业合规与实务指引（Compliance Guidance）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对于在印尼运营的外资企业、外籍人员、媒体机构及个人：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**公共内容合规审查（Public Discourse Clearance）：** 企业的对外市场营销、广告方案、公关文稿、艺术演艺或播客内容，必须严格审查，禁止包含对印尼主流宗教教义的贬损性阐释，严禁破坏或侮辱宗教象征与仪式。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**用工合规与反宗教骚扰机制（Workplace Policy）：** 跨国公司应在《员工手册》（PP/PKB）中明确设立反宗教歧视与禁止仇恨言论条款，防范员工在公开职场或代表公司时发表触犯宗教红线的言论，从而阻断企业法律风险。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**与《信息与电子交易法》（UU ITE）的竞合防范：** 凡在社交媒体或数字渠道公开发布涉及第156条a款的内容，通常会与经修订的UU ITE第28条第（2）款（关于传播引发SARA仇恨信息的犯罪）产生法条竞合，面临数罪并罚或加重追责的刑事风险。</w:t>
      </w:r>
    </w:p>
    <w:p>
      <w:pPr>
        <w:spacing w:before="400" w:after="0"/>
      </w:pPr>
      <w:r>
        <w:rPr>
          <w:rFonts w:ascii="Arial" w:hAnsi="Arial"/>
          <w:i/>
          <w:color w:val="94A3B8"/>
          <w:sz w:val="16"/>
        </w:rPr>
        <w:t>Disclaimer: Generated by hukum.live for educational and statutory guidance purposes.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