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27A UU ITE"</w:t>
      </w:r>
    </w:p>
    <w:p>
      <w:pPr>
        <w:spacing w:before="0" w:after="360"/>
        <w:jc w:val="center"/>
      </w:pPr>
      <w:r>
        <w:rPr>
          <w:rFonts w:ascii="Arial" w:hAnsi="Arial"/>
          <w:color w:val="64748B"/>
          <w:sz w:val="17"/>
        </w:rPr>
        <w:t>CATEGORY: CORPORATE &amp; INVESTMENT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Dasar Hukum dan Rujukan Normatif</w:t>
      </w:r>
    </w:p>
    <w:p>
      <w:pPr>
        <w:spacing w:before="0" w:after="80" w:line="276" w:lineRule="auto"/>
      </w:pPr>
      <w:r>
        <w:rPr>
          <w:rFonts w:ascii="Arial" w:hAnsi="Arial"/>
          <w:color w:val="1E293B"/>
          <w:sz w:val="20"/>
        </w:rPr>
        <w:t>Ketentuan Pasal 27A merupakan norma baru yang disisipkan ke dalam Undang-Undang Nomor 11 Tahun 2008 tentang Informasi dan Transaksi Elektronik (UU ITE) melalui **Undang-Undang Nomor 1 Tahun 2024 tentang Perubahan Kedua atas Undang-Undang Nomor 11 Tahun 2008 tentang Informasi dan Transaksi Elektronik**.</w:t>
      </w:r>
    </w:p>
    <w:p>
      <w:pPr>
        <w:spacing w:before="0" w:after="80"/>
      </w:pPr>
    </w:p>
    <w:p>
      <w:pPr>
        <w:spacing w:before="0" w:after="80" w:line="276" w:lineRule="auto"/>
      </w:pPr>
      <w:r>
        <w:rPr>
          <w:rFonts w:ascii="Arial" w:hAnsi="Arial"/>
          <w:color w:val="1E293B"/>
          <w:sz w:val="20"/>
        </w:rPr>
        <w:t>*   **Pasal 27A UU ITE (UU No. 1/2024):**</w:t>
      </w:r>
    </w:p>
    <w:p>
      <w:pPr>
        <w:spacing w:before="0" w:after="80" w:line="276" w:lineRule="auto"/>
      </w:pPr>
      <w:r>
        <w:rPr>
          <w:rFonts w:ascii="Arial" w:hAnsi="Arial"/>
          <w:color w:val="1E293B"/>
          <w:sz w:val="20"/>
        </w:rPr>
        <w:t xml:space="preserve">    &gt; *"Setiap Orang dengan sengaja menyerang kehormatan atau nama baik orang lain dengan cara menuduhkan suatu hal, dengan maksud supaya hal tersebut diketahui umum dalam bentuk Informasi Elektronik dan/atau Dokumen Elektronik yang dilakukan melalui Sistem Elektronik."*</w:t>
      </w:r>
    </w:p>
    <w:p>
      <w:pPr>
        <w:spacing w:before="0" w:after="80"/>
      </w:pPr>
    </w:p>
    <w:p>
      <w:pPr>
        <w:spacing w:before="0" w:after="80" w:line="276" w:lineRule="auto"/>
      </w:pPr>
      <w:r>
        <w:rPr>
          <w:rFonts w:ascii="Arial" w:hAnsi="Arial"/>
          <w:color w:val="1E293B"/>
          <w:sz w:val="20"/>
        </w:rPr>
        <w:t>*   **Sanksi Pidana – Pasal 45 ayat (4) UU No. 1/2024:**</w:t>
      </w:r>
    </w:p>
    <w:p>
      <w:pPr>
        <w:spacing w:before="0" w:after="80" w:line="276" w:lineRule="auto"/>
      </w:pPr>
      <w:r>
        <w:rPr>
          <w:rFonts w:ascii="Arial" w:hAnsi="Arial"/>
          <w:color w:val="1E293B"/>
          <w:sz w:val="20"/>
        </w:rPr>
        <w:t xml:space="preserve">    &gt; *"Setiap Orang yang dengan sengaja dan tanpa hak mendistribusikan dan/atau mentransmisikan dan/atau membuat dapat diaksesnya Informasi Elektronik dan/atau Dokumen Elektronik yang memiliki muatan yang menyerang kehormatan atau nama baik orang lain sebagaimana dimaksud dalam Pasal 27A dipidana dengan pidana penjara paling lama 2 (dua) tahun dan/atau denda paling banyak kategori IV, yaitu paling banyak Rp400.000.000,00 (empat ratus juta rupiah)."*</w:t>
      </w:r>
    </w:p>
    <w:p>
      <w:pPr>
        <w:spacing w:before="0" w:after="80"/>
      </w:pPr>
    </w:p>
    <w:p>
      <w:pPr>
        <w:spacing w:before="0" w:after="80" w:line="276" w:lineRule="auto"/>
      </w:pPr>
      <w:r>
        <w:rPr>
          <w:rFonts w:ascii="Arial" w:hAnsi="Arial"/>
          <w:color w:val="1E293B"/>
          <w:sz w:val="20"/>
        </w:rPr>
        <w:t>*   **Alasan Pengecualian Pidana – Pasal 45 ayat (5) UU No. 1/2024:**</w:t>
      </w:r>
    </w:p>
    <w:p>
      <w:pPr>
        <w:spacing w:before="0" w:after="80" w:line="276" w:lineRule="auto"/>
      </w:pPr>
      <w:r>
        <w:rPr>
          <w:rFonts w:ascii="Arial" w:hAnsi="Arial"/>
          <w:color w:val="1E293B"/>
          <w:sz w:val="20"/>
        </w:rPr>
        <w:t xml:space="preserve">    Perbuatan sebagaimana dimaksud dalam Pasal 27A tidak dipidana jika:</w:t>
      </w:r>
    </w:p>
    <w:p>
      <w:pPr>
        <w:spacing w:before="0" w:after="80" w:line="276" w:lineRule="auto"/>
      </w:pPr>
      <w:r>
        <w:rPr>
          <w:rFonts w:ascii="Arial" w:hAnsi="Arial"/>
          <w:color w:val="1E293B"/>
          <w:sz w:val="20"/>
        </w:rPr>
        <w:t xml:space="preserve">    1. Dilakukan demi kepentingan umum; atau</w:t>
      </w:r>
    </w:p>
    <w:p>
      <w:pPr>
        <w:spacing w:before="0" w:after="80" w:line="276" w:lineRule="auto"/>
      </w:pPr>
      <w:r>
        <w:rPr>
          <w:rFonts w:ascii="Arial" w:hAnsi="Arial"/>
          <w:color w:val="1E293B"/>
          <w:sz w:val="20"/>
        </w:rPr>
        <w:t xml:space="preserve">    2. Dilakukan karena terpaksa untuk membela diri.</w:t>
      </w:r>
    </w:p>
    <w:p>
      <w:pPr>
        <w:spacing w:before="0" w:after="80"/>
      </w:pPr>
    </w:p>
    <w:p>
      <w:pPr>
        <w:spacing w:before="0" w:after="80" w:line="276" w:lineRule="auto"/>
      </w:pPr>
      <w:r>
        <w:rPr>
          <w:rFonts w:ascii="Arial" w:hAnsi="Arial"/>
          <w:color w:val="1E293B"/>
          <w:sz w:val="20"/>
        </w:rPr>
        <w:t>*   **Sifat Delik – Pasal 45 ayat (6) UU No. 1/2024:**</w:t>
      </w:r>
    </w:p>
    <w:p>
      <w:pPr>
        <w:spacing w:before="0" w:after="80" w:line="276" w:lineRule="auto"/>
      </w:pPr>
      <w:r>
        <w:rPr>
          <w:rFonts w:ascii="Arial" w:hAnsi="Arial"/>
          <w:color w:val="1E293B"/>
          <w:sz w:val="20"/>
        </w:rPr>
        <w:t xml:space="preserve">    Tindak pidana sebagaimana dimaksud pada Pasal 27A merupakan **delik aduan absolut (*absolute klachtdelict*)**, yang hanya dapat dituntut atas persetujuan/aduan langsung dari korban yang kehormatan atau nama baiknya diserang (atau kuasa hukum/ahli warisnya sesuai batasan hukum acara yang berlaku).</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Unsur-Unsur Tindak Pidana (Tatbestand)</w:t>
      </w:r>
    </w:p>
    <w:p>
      <w:pPr>
        <w:spacing w:before="0" w:after="80" w:line="276" w:lineRule="auto"/>
      </w:pPr>
      <w:r>
        <w:rPr>
          <w:rFonts w:ascii="Arial" w:hAnsi="Arial"/>
          <w:color w:val="1E293B"/>
          <w:sz w:val="20"/>
        </w:rPr>
        <w:t>Untuk dapat dijerat Pasal 27A jo. Pasal 45 ayat (4) UU ITE, seluruh unsur berikut harus terpenuhi secara kumulatif:</w:t>
      </w:r>
    </w:p>
    <w:p>
      <w:pPr>
        <w:spacing w:before="0" w:after="80" w:line="276" w:lineRule="auto"/>
      </w:pPr>
      <w:r>
        <w:rPr>
          <w:rFonts w:ascii="Arial" w:hAnsi="Arial"/>
          <w:color w:val="1E293B"/>
          <w:sz w:val="20"/>
        </w:rPr>
        <w:t>1. **Subjek Hukum ("Setiap Orang"):** Orang perseorangan (*natuurlijk persoon*) atau badan hukum (*rechtspersoon*) sesuai ketentuan umum UU ITE.</w:t>
      </w:r>
    </w:p>
    <w:p>
      <w:pPr>
        <w:spacing w:before="0" w:after="80" w:line="276" w:lineRule="auto"/>
      </w:pPr>
      <w:r>
        <w:rPr>
          <w:rFonts w:ascii="Arial" w:hAnsi="Arial"/>
          <w:color w:val="1E293B"/>
          <w:sz w:val="20"/>
        </w:rPr>
        <w:t>2. **Unsur Kesengajaan ("Dengan Sengaja" / *Dolus*):** Pelaku menghendaki dan mengetahui (*willens en wetens*) tindakan pencemaran tersebut serta konsekuensinya.</w:t>
      </w:r>
    </w:p>
    <w:p>
      <w:pPr>
        <w:spacing w:before="0" w:after="80" w:line="276" w:lineRule="auto"/>
      </w:pPr>
      <w:r>
        <w:rPr>
          <w:rFonts w:ascii="Arial" w:hAnsi="Arial"/>
          <w:color w:val="1E293B"/>
          <w:sz w:val="20"/>
        </w:rPr>
        <w:t>3. **Menyerang Kehormatan atau Nama Baik (*Aanranding van Eer of Goede Naam*):** Perbuatan mencemarkan rasa harga diri, integritas moral, atau reputasi sosial pihak lain.</w:t>
      </w:r>
    </w:p>
    <w:p>
      <w:pPr>
        <w:spacing w:before="0" w:after="80" w:line="276" w:lineRule="auto"/>
      </w:pPr>
      <w:r>
        <w:rPr>
          <w:rFonts w:ascii="Arial" w:hAnsi="Arial"/>
          <w:color w:val="1E293B"/>
          <w:sz w:val="20"/>
        </w:rPr>
        <w:t>4. **Modus Menuduhkan Suatu Hal (*Door Telastlegging van een Bepaald Feit*):** Berupa tuduhan konkret/faktual tertentu, bukan sekadar makian atau hinaan umum (hinaan umum tanpa tuduhan fakta spesifik dikualifikasikan secara terpisah).</w:t>
      </w:r>
    </w:p>
    <w:p>
      <w:pPr>
        <w:spacing w:before="0" w:after="80" w:line="276" w:lineRule="auto"/>
      </w:pPr>
      <w:r>
        <w:rPr>
          <w:rFonts w:ascii="Arial" w:hAnsi="Arial"/>
          <w:color w:val="1E293B"/>
          <w:sz w:val="20"/>
        </w:rPr>
        <w:t>5. **Tujuan Publikasi (*Maksud Supaya Hal Tersebut Diketahui Umum*):** Niat jahat penyebaran informasi agar dapat diakses oleh khalayak ramai atau pihak ketiga.</w:t>
      </w:r>
    </w:p>
    <w:p>
      <w:pPr>
        <w:spacing w:before="0" w:after="80" w:line="276" w:lineRule="auto"/>
      </w:pPr>
      <w:r>
        <w:rPr>
          <w:rFonts w:ascii="Arial" w:hAnsi="Arial"/>
          <w:color w:val="1E293B"/>
          <w:sz w:val="20"/>
        </w:rPr>
        <w:t>6. **Instrumen Sarana:** Dilakukan dalam bentuk Informasi Elektronik dan/atau Dokumen Elektronik melalui Sistem Elektronik (media sosial, aplikasi pesan instan dengan grup publik, situs web, dll.).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Hak dan Kewajiban Hukum Para Pihak</w:t>
      </w:r>
    </w:p>
    <w:p>
      <w:pPr>
        <w:spacing w:before="0" w:after="80" w:line="276" w:lineRule="auto"/>
      </w:pPr>
      <w:r>
        <w:rPr>
          <w:rFonts w:ascii="Arial" w:hAnsi="Arial"/>
          <w:color w:val="1E293B"/>
          <w:sz w:val="20"/>
        </w:rPr>
        <w:t>*   **Hak Korban:**</w:t>
      </w:r>
    </w:p>
    <w:p>
      <w:pPr>
        <w:spacing w:before="0" w:after="80" w:line="276" w:lineRule="auto"/>
      </w:pPr>
      <w:r>
        <w:rPr>
          <w:rFonts w:ascii="Arial" w:hAnsi="Arial"/>
          <w:color w:val="1E293B"/>
          <w:sz w:val="20"/>
        </w:rPr>
        <w:t xml:space="preserve">    *   Mengajukan laporan pengaduan resmi kepada penyidik Polri atas dasar delik aduan.</w:t>
      </w:r>
    </w:p>
    <w:p>
      <w:pPr>
        <w:spacing w:before="0" w:after="80" w:line="276" w:lineRule="auto"/>
      </w:pPr>
      <w:r>
        <w:rPr>
          <w:rFonts w:ascii="Arial" w:hAnsi="Arial"/>
          <w:color w:val="1E293B"/>
          <w:sz w:val="20"/>
        </w:rPr>
        <w:t xml:space="preserve">    *   Mencabut pengaduan selama proses pemeriksaan belum diputus di sidang pengadilan sesuai ketentuan KUHAP.</w:t>
      </w:r>
    </w:p>
    <w:p>
      <w:pPr>
        <w:spacing w:before="0" w:after="80" w:line="276" w:lineRule="auto"/>
      </w:pPr>
      <w:r>
        <w:rPr>
          <w:rFonts w:ascii="Arial" w:hAnsi="Arial"/>
          <w:color w:val="1E293B"/>
          <w:sz w:val="20"/>
        </w:rPr>
        <w:t xml:space="preserve">    *   Mengajukan gugatan perdata perbuatan melawan hukum (PMH) berdasarkan Pasal 1365 KUHPerdata untuk menuntut ganti kerugian materiil dan immateriil.</w:t>
      </w:r>
    </w:p>
    <w:p>
      <w:pPr>
        <w:spacing w:before="0" w:after="80" w:line="276" w:lineRule="auto"/>
      </w:pPr>
      <w:r>
        <w:rPr>
          <w:rFonts w:ascii="Arial" w:hAnsi="Arial"/>
          <w:color w:val="1E293B"/>
          <w:sz w:val="20"/>
        </w:rPr>
        <w:t>*   **Kewajiban Pengguna Ruang Digital (Masyarakat/Korporasi):**</w:t>
      </w:r>
    </w:p>
    <w:p>
      <w:pPr>
        <w:spacing w:before="0" w:after="80" w:line="276" w:lineRule="auto"/>
      </w:pPr>
      <w:r>
        <w:rPr>
          <w:rFonts w:ascii="Arial" w:hAnsi="Arial"/>
          <w:color w:val="1E293B"/>
          <w:sz w:val="20"/>
        </w:rPr>
        <w:t xml:space="preserve">    *   Wajib menahan diri dari menyebarkan pernyataan yang menuduhkan fakta tidak terverifikasi kepada individu tertentu di ruang siber.</w:t>
      </w:r>
    </w:p>
    <w:p>
      <w:pPr>
        <w:spacing w:before="0" w:after="80" w:line="276" w:lineRule="auto"/>
      </w:pPr>
      <w:r>
        <w:rPr>
          <w:rFonts w:ascii="Arial" w:hAnsi="Arial"/>
          <w:color w:val="1E293B"/>
          <w:sz w:val="20"/>
        </w:rPr>
        <w:t xml:space="preserve">    *   Wajib memastikan bahwa setiap kritik atau pengungkapan fakta semata-mata ditujukan untuk kepentingan umum (seperti laporan pengaduan korupsi resmi, perlindungan konsumen publik) atau pembelaan diri yang proporsional.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Pedoman Kepatuhan &amp; Mitigasi Risiko Hukum</w:t>
      </w:r>
    </w:p>
    <w:p>
      <w:pPr>
        <w:spacing w:before="0" w:after="80" w:line="276" w:lineRule="auto"/>
      </w:pPr>
      <w:r>
        <w:rPr>
          <w:rFonts w:ascii="Arial" w:hAnsi="Arial"/>
          <w:color w:val="1E293B"/>
          <w:sz w:val="20"/>
        </w:rPr>
        <w:t>1. **Verifikasi dan Uji Kepentingan Umum:** Sebelum mempublikasikan ulasan atau pernyataan negatif di media elektronik, pastikan materi didukung oleh bukti autentik yang dapat diuji serta murni menyangkut kepentingan publik, bukan dendam pribadi.</w:t>
      </w:r>
    </w:p>
    <w:p>
      <w:pPr>
        <w:spacing w:before="0" w:after="80" w:line="276" w:lineRule="auto"/>
      </w:pPr>
      <w:r>
        <w:rPr>
          <w:rFonts w:ascii="Arial" w:hAnsi="Arial"/>
          <w:color w:val="1E293B"/>
          <w:sz w:val="20"/>
        </w:rPr>
        <w:t>2. **Penyelesaian Sengketa Alternatif:** Utamakan mekanisme hak jawab, klarifikasi terbuka, atau musyawarah/mediasi sebelum menempuh jalur pidana siber.</w:t>
      </w:r>
    </w:p>
    <w:p>
      <w:pPr>
        <w:spacing w:before="0" w:after="80" w:line="276" w:lineRule="auto"/>
      </w:pPr>
      <w:r>
        <w:rPr>
          <w:rFonts w:ascii="Arial" w:hAnsi="Arial"/>
          <w:color w:val="1E293B"/>
          <w:sz w:val="20"/>
        </w:rPr>
        <w:t>3. **Penerapan *Restorative Justice*:** Mengacu pada pedoman Kepolisian dan Kejaksaan Agung RI, kasus Pasal 27A wajib diprioritaskan penyelesaiannya melalui keadilan restoratif (*restorative justice*) mengingat status delik aduan dan ancaman pidana di bawah 5 tahun.</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法律渊源与法定条款依据</w:t>
      </w:r>
    </w:p>
    <w:p>
      <w:pPr>
        <w:spacing w:before="0" w:after="80" w:line="276" w:lineRule="auto"/>
      </w:pPr>
      <w:r>
        <w:rPr>
          <w:rFonts w:ascii="Arial" w:hAnsi="Arial"/>
          <w:b/>
          <w:color w:val="0F172A"/>
          <w:sz w:val="21"/>
        </w:rPr>
        <w:t>第27条A款是印尼通过**2024年第1号法律《关于2008年第11号信息与电子交易法（UU ITE）的第二次修正案》**增设的新罪名条款。</w:t>
      </w:r>
    </w:p>
    <w:p>
      <w:pPr>
        <w:spacing w:before="0" w:after="80"/>
      </w:pPr>
    </w:p>
    <w:p>
      <w:pPr>
        <w:spacing w:before="0" w:after="80" w:line="276" w:lineRule="auto"/>
      </w:pPr>
      <w:r>
        <w:rPr>
          <w:rFonts w:ascii="Arial" w:hAnsi="Arial"/>
          <w:b/>
          <w:color w:val="0F172A"/>
          <w:sz w:val="21"/>
        </w:rPr>
        <w:t>*   **UU ITE 第27条A款（2024年第1号法）：**</w:t>
      </w:r>
    </w:p>
    <w:p>
      <w:pPr>
        <w:spacing w:before="0" w:after="80" w:line="276" w:lineRule="auto"/>
      </w:pPr>
      <w:r>
        <w:rPr>
          <w:rFonts w:ascii="Arial" w:hAnsi="Arial"/>
          <w:color w:val="1E293B"/>
          <w:sz w:val="20"/>
        </w:rPr>
        <w:t xml:space="preserve">    &gt; *“任何人故意通过指控某一具体事项，以使该事项为公众所知晓为目的，以电子信息和/或电子文档的形式，通过电子系统实施侵害他人名誉或声誉的行为。”*</w:t>
      </w:r>
    </w:p>
    <w:p>
      <w:pPr>
        <w:spacing w:before="0" w:after="80"/>
      </w:pPr>
    </w:p>
    <w:p>
      <w:pPr>
        <w:spacing w:before="0" w:after="80" w:line="276" w:lineRule="auto"/>
      </w:pPr>
      <w:r>
        <w:rPr>
          <w:rFonts w:ascii="Arial" w:hAnsi="Arial"/>
          <w:color w:val="1E293B"/>
          <w:sz w:val="20"/>
        </w:rPr>
        <w:t>*   **刑事处罚规定——2024年第1号法 第45条第(4)款：**</w:t>
      </w:r>
    </w:p>
    <w:p>
      <w:pPr>
        <w:spacing w:before="0" w:after="80" w:line="276" w:lineRule="auto"/>
      </w:pPr>
      <w:r>
        <w:rPr>
          <w:rFonts w:ascii="Arial" w:hAnsi="Arial"/>
          <w:color w:val="1E293B"/>
          <w:sz w:val="20"/>
        </w:rPr>
        <w:t xml:space="preserve">    &gt; *“任何人故意且无权分发、传输和/或使他人能够访问包含第27条A款所指侵害他人名誉或声誉内容的电子信息和/或电子文档，处最高2（两）年有期徒刑，和/或最高第四级罚金，即最高400,000,000印尼盾（四亿印尼盾）。”*</w:t>
      </w:r>
    </w:p>
    <w:p>
      <w:pPr>
        <w:spacing w:before="0" w:after="80"/>
      </w:pPr>
    </w:p>
    <w:p>
      <w:pPr>
        <w:spacing w:before="0" w:after="80" w:line="276" w:lineRule="auto"/>
      </w:pPr>
      <w:r>
        <w:rPr>
          <w:rFonts w:ascii="Arial" w:hAnsi="Arial"/>
          <w:color w:val="1E293B"/>
          <w:sz w:val="20"/>
        </w:rPr>
        <w:t>*   **法定免责事由——2024年第1号法 第45条第(5)款：**</w:t>
      </w:r>
    </w:p>
    <w:p>
      <w:pPr>
        <w:spacing w:before="0" w:after="80" w:line="276" w:lineRule="auto"/>
      </w:pPr>
      <w:r>
        <w:rPr>
          <w:rFonts w:ascii="Arial" w:hAnsi="Arial"/>
          <w:b/>
          <w:color w:val="0F172A"/>
          <w:sz w:val="21"/>
        </w:rPr>
        <w:t xml:space="preserve">    第27条A款所规定的行为在下列情形下不予刑事处罚：</w:t>
      </w:r>
    </w:p>
    <w:p>
      <w:pPr>
        <w:spacing w:before="0" w:after="80" w:line="276" w:lineRule="auto"/>
      </w:pPr>
      <w:r>
        <w:rPr>
          <w:rFonts w:ascii="Arial" w:hAnsi="Arial"/>
          <w:color w:val="1E293B"/>
          <w:sz w:val="20"/>
        </w:rPr>
        <w:t xml:space="preserve">    1. 为了公共利益实施的行为；或者</w:t>
      </w:r>
    </w:p>
    <w:p>
      <w:pPr>
        <w:spacing w:before="0" w:after="80" w:line="276" w:lineRule="auto"/>
      </w:pPr>
      <w:r>
        <w:rPr>
          <w:rFonts w:ascii="Arial" w:hAnsi="Arial"/>
          <w:color w:val="1E293B"/>
          <w:sz w:val="20"/>
        </w:rPr>
        <w:t xml:space="preserve">    2. 被迫出于正当防卫（自卫）而实施的行为。</w:t>
      </w:r>
    </w:p>
    <w:p>
      <w:pPr>
        <w:spacing w:before="0" w:after="80"/>
      </w:pPr>
    </w:p>
    <w:p>
      <w:pPr>
        <w:spacing w:before="0" w:after="80" w:line="276" w:lineRule="auto"/>
      </w:pPr>
      <w:r>
        <w:rPr>
          <w:rFonts w:ascii="Arial" w:hAnsi="Arial"/>
          <w:color w:val="1E293B"/>
          <w:sz w:val="20"/>
        </w:rPr>
        <w:t>*   **犯罪性质——2024年第1号法 第45条第(6)款：**</w:t>
      </w:r>
    </w:p>
    <w:p>
      <w:pPr>
        <w:spacing w:before="0" w:after="80" w:line="276" w:lineRule="auto"/>
      </w:pPr>
      <w:r>
        <w:rPr>
          <w:rFonts w:ascii="Arial" w:hAnsi="Arial"/>
          <w:color w:val="1E293B"/>
          <w:sz w:val="20"/>
        </w:rPr>
        <w:t xml:space="preserve">    第27条A款所指犯罪属于**绝对亲告罪（告诉才处理之罪，*delik aduan absolut*）**，仅在名誉或声誉受侵害者本人（或其法定代理人/继承人依照现行刑事诉讼法规定）主动提起刑事控告时，司法机关方可提起公诉。</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犯罪构成要件 (Constitutive Elements)</w:t>
      </w:r>
    </w:p>
    <w:p>
      <w:pPr>
        <w:spacing w:before="0" w:after="80" w:line="276" w:lineRule="auto"/>
      </w:pPr>
      <w:r>
        <w:rPr>
          <w:rFonts w:ascii="Arial" w:hAnsi="Arial"/>
          <w:b/>
          <w:color w:val="0F172A"/>
          <w:sz w:val="21"/>
        </w:rPr>
        <w:t>适用第27条A款结合第45条第(4)款定罪量刑，必须同时具备以下法定要件：</w:t>
      </w:r>
    </w:p>
    <w:p>
      <w:pPr>
        <w:spacing w:before="0" w:after="80" w:line="276" w:lineRule="auto"/>
      </w:pPr>
      <w:r>
        <w:rPr>
          <w:rFonts w:ascii="Arial" w:hAnsi="Arial"/>
          <w:color w:val="1E293B"/>
          <w:sz w:val="20"/>
        </w:rPr>
        <w:t>1. **主体要件（“任何人”）：** 包括自然人（*natuurlijk persoon*）或法律主体实体（法人/*rechtspersoon*）。</w:t>
      </w:r>
    </w:p>
    <w:p>
      <w:pPr>
        <w:spacing w:before="0" w:after="80" w:line="276" w:lineRule="auto"/>
      </w:pPr>
      <w:r>
        <w:rPr>
          <w:rFonts w:ascii="Arial" w:hAnsi="Arial"/>
          <w:color w:val="1E293B"/>
          <w:sz w:val="20"/>
        </w:rPr>
        <w:t>2. **主观故意要件（“故意” / *Dolus*）：** 行为人对其诽谤/侮辱行为及其危害后果具有明确的明知和希望（*willens en wetens*）心态。</w:t>
      </w:r>
    </w:p>
    <w:p>
      <w:pPr>
        <w:spacing w:before="0" w:after="80" w:line="276" w:lineRule="auto"/>
      </w:pPr>
      <w:r>
        <w:rPr>
          <w:rFonts w:ascii="Arial" w:hAnsi="Arial"/>
          <w:color w:val="1E293B"/>
          <w:sz w:val="20"/>
        </w:rPr>
        <w:t>3. **客观侵害要件（“侵害名誉或声誉”）：** 损害被害人在社会交往中的人格尊严、道德评价或社会声望。</w:t>
      </w:r>
    </w:p>
    <w:p>
      <w:pPr>
        <w:spacing w:before="0" w:after="80" w:line="276" w:lineRule="auto"/>
      </w:pPr>
      <w:r>
        <w:rPr>
          <w:rFonts w:ascii="Arial" w:hAnsi="Arial"/>
          <w:color w:val="1E293B"/>
          <w:sz w:val="20"/>
        </w:rPr>
        <w:t>4. **行为手段（“指控具体事实”）：** 必须包含具体事实的指控或捏造，而非单纯的无事实指控之粗俗辱骂（无具体事实的谩骂另归入其他法律规制）。</w:t>
      </w:r>
    </w:p>
    <w:p>
      <w:pPr>
        <w:spacing w:before="0" w:after="80" w:line="276" w:lineRule="auto"/>
      </w:pPr>
      <w:r>
        <w:rPr>
          <w:rFonts w:ascii="Arial" w:hAnsi="Arial"/>
          <w:color w:val="1E293B"/>
          <w:sz w:val="20"/>
        </w:rPr>
        <w:t>5. **目的要件（“以使该事项为公众所知为目的”）：** 具有使不特定第三人或公众知悉该指控内容的主观恶意与传播意图。</w:t>
      </w:r>
    </w:p>
    <w:p>
      <w:pPr>
        <w:spacing w:before="0" w:after="80" w:line="276" w:lineRule="auto"/>
      </w:pPr>
      <w:r>
        <w:rPr>
          <w:rFonts w:ascii="Arial" w:hAnsi="Arial"/>
          <w:color w:val="1E293B"/>
          <w:sz w:val="20"/>
        </w:rPr>
        <w:t>6. **工具要件（“通过电子系统及电子信息/电子文档”）：** 通过社交媒体平台、即时通讯公开群组、互联网站等网络电子介质实施。</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各方主体的法定权利与法律义务</w:t>
      </w:r>
    </w:p>
    <w:p>
      <w:pPr>
        <w:spacing w:before="0" w:after="80" w:line="276" w:lineRule="auto"/>
      </w:pPr>
      <w:r>
        <w:rPr>
          <w:rFonts w:ascii="Arial" w:hAnsi="Arial"/>
          <w:color w:val="1E293B"/>
          <w:sz w:val="20"/>
        </w:rPr>
        <w:t>*   **被害人权利：**</w:t>
      </w:r>
    </w:p>
    <w:p>
      <w:pPr>
        <w:spacing w:before="0" w:after="80" w:line="276" w:lineRule="auto"/>
      </w:pPr>
      <w:r>
        <w:rPr>
          <w:rFonts w:ascii="Arial" w:hAnsi="Arial"/>
          <w:color w:val="1E293B"/>
          <w:sz w:val="20"/>
        </w:rPr>
        <w:t xml:space="preserve">    *   基于亲告罪属性，有权依法向印尼国家警察刑事侦查部门提起正式的刑事控告。</w:t>
      </w:r>
    </w:p>
    <w:p>
      <w:pPr>
        <w:spacing w:before="0" w:after="80" w:line="276" w:lineRule="auto"/>
      </w:pPr>
      <w:r>
        <w:rPr>
          <w:rFonts w:ascii="Arial" w:hAnsi="Arial"/>
          <w:b/>
          <w:color w:val="0F172A"/>
          <w:sz w:val="21"/>
        </w:rPr>
        <w:t xml:space="preserve">    *   在法院作出一审判决之前，依据印尼《刑事诉讼法典》（KUHAP）有权随时撤回控告。</w:t>
      </w:r>
    </w:p>
    <w:p>
      <w:pPr>
        <w:spacing w:before="0" w:after="80" w:line="276" w:lineRule="auto"/>
      </w:pPr>
      <w:r>
        <w:rPr>
          <w:rFonts w:ascii="Arial" w:hAnsi="Arial"/>
          <w:color w:val="1E293B"/>
          <w:sz w:val="20"/>
        </w:rPr>
        <w:t xml:space="preserve">    *   有权依据印尼《民法典》（KUHPerdata）第1365条关于一般侵权行为之规定，向民事法院提起诉讼，主张财产性及非财产性（精神）损害赔偿。</w:t>
      </w:r>
    </w:p>
    <w:p>
      <w:pPr>
        <w:spacing w:before="0" w:after="80" w:line="276" w:lineRule="auto"/>
      </w:pPr>
      <w:r>
        <w:rPr>
          <w:rFonts w:ascii="Arial" w:hAnsi="Arial"/>
          <w:color w:val="1E293B"/>
          <w:sz w:val="20"/>
        </w:rPr>
        <w:t>*   **网络空间用户（公众及企业）法律义务：**</w:t>
      </w:r>
    </w:p>
    <w:p>
      <w:pPr>
        <w:spacing w:before="0" w:after="80" w:line="276" w:lineRule="auto"/>
      </w:pPr>
      <w:r>
        <w:rPr>
          <w:rFonts w:ascii="Arial" w:hAnsi="Arial"/>
          <w:color w:val="1E293B"/>
          <w:sz w:val="20"/>
        </w:rPr>
        <w:t xml:space="preserve">    *   负有法定义务，严禁在网络空间公开发布或散布针对特定个人的未经证实的指控言论。</w:t>
      </w:r>
    </w:p>
    <w:p>
      <w:pPr>
        <w:spacing w:before="0" w:after="80" w:line="276" w:lineRule="auto"/>
      </w:pPr>
      <w:r>
        <w:rPr>
          <w:rFonts w:ascii="Arial" w:hAnsi="Arial"/>
          <w:color w:val="1E293B"/>
          <w:sz w:val="20"/>
        </w:rPr>
        <w:t xml:space="preserve">    *   在行使批评权或披露事实时，必须确保其行为纯粹基于公共利益（如合法的反腐败举报、消费者权益维权公开）或处于合理的防卫限度内。</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合规指南与法律风险防范建议</w:t>
      </w:r>
    </w:p>
    <w:p>
      <w:pPr>
        <w:spacing w:before="0" w:after="80" w:line="276" w:lineRule="auto"/>
      </w:pPr>
      <w:r>
        <w:rPr>
          <w:rFonts w:ascii="Arial" w:hAnsi="Arial"/>
          <w:color w:val="1E293B"/>
          <w:sz w:val="20"/>
        </w:rPr>
        <w:t>1. **事实核实与“公共利益”审查：** 在电子网络媒介发布可能涉及他人负面评价的内容前，必须留存客观、真实的凭证链条，并严格界定言论是否属于公共利益范畴，杜绝出于个人恩怨泄愤之行为。</w:t>
      </w:r>
    </w:p>
    <w:p>
      <w:pPr>
        <w:spacing w:before="0" w:after="80" w:line="276" w:lineRule="auto"/>
      </w:pPr>
      <w:r>
        <w:rPr>
          <w:rFonts w:ascii="Arial" w:hAnsi="Arial"/>
          <w:color w:val="1E293B"/>
          <w:sz w:val="20"/>
        </w:rPr>
        <w:t>2. **优先使用替代性争议解决机制：** 建议优先采用公开更正、答辩权声明或协商和解程序，避免直接升级为网络诽谤刑事诉讼。</w:t>
      </w:r>
    </w:p>
    <w:p>
      <w:pPr>
        <w:spacing w:before="0" w:after="80" w:line="276" w:lineRule="auto"/>
      </w:pPr>
      <w:r>
        <w:rPr>
          <w:rFonts w:ascii="Arial" w:hAnsi="Arial"/>
          <w:color w:val="1E293B"/>
          <w:sz w:val="20"/>
        </w:rPr>
        <w:t>3. **推动恢复性司法（Restorative Justice）：** 鉴于本条款属于亲告罪且法定最高刑期在5年以下，根据印尼国家警察总长及最高检察署的合规指导原则，涉嫌触犯第27条A款的案件应优先通过恢复性司法程序主持双方调解。</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