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362"</w:t>
      </w:r>
    </w:p>
    <w:p>
      <w:pPr>
        <w:spacing w:before="0" w:after="360"/>
        <w:jc w:val="center"/>
      </w:pPr>
      <w:r>
        <w:rPr>
          <w:rFonts w:ascii="Arial" w:hAnsi="Arial"/>
          <w:color w:val="64748B"/>
          <w:sz w:val="17"/>
        </w:rPr>
        <w:t>CATEGORY: CRIMINAL LAW &amp; PENAL CODE (KUHP)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**1. Rujukan Normatif Utama: Pasal 362 Kitab Undang-Undang Hukum Pidana (KUHP)**</w:t>
      </w:r>
    </w:p>
    <w:p>
      <w:pPr>
        <w:spacing w:before="0" w:after="80" w:line="276" w:lineRule="auto"/>
      </w:pPr>
      <w:r>
        <w:rPr>
          <w:rFonts w:ascii="Arial" w:hAnsi="Arial"/>
          <w:color w:val="1E293B"/>
          <w:sz w:val="20"/>
        </w:rPr>
        <w:t>Dalam tatanan hukum pidana materiil Indonesia, ketentuan Pasal 362 KUHP mengatur tindak pidana pencurian biasa (*diefstal*). Rumusan normatifnya berbunyi:</w:t>
      </w:r>
    </w:p>
    <w:p>
      <w:pPr>
        <w:spacing w:before="0" w:after="80"/>
      </w:pPr>
    </w:p>
    <w:p>
      <w:pPr>
        <w:spacing w:before="0" w:after="80" w:line="276" w:lineRule="auto"/>
      </w:pPr>
      <w:r>
        <w:rPr>
          <w:rFonts w:ascii="Arial" w:hAnsi="Arial"/>
          <w:color w:val="1E293B"/>
          <w:sz w:val="20"/>
        </w:rPr>
        <w:t>&gt; *"Barang siapa mengambil barang sesuatu, yang seluruhnya atau sebagian kepunyaan orang lain, dengan maksud untuk dimiliki secara melawan hukum, diancam karena pencurian, dengan pidana penjara paling lama lima tahun atau pidana denda paling banyak sembilan ratus rupiah."*</w:t>
      </w:r>
    </w:p>
    <w:p>
      <w:pPr>
        <w:spacing w:before="0" w:after="80"/>
      </w:pPr>
    </w:p>
    <w:p>
      <w:pPr>
        <w:spacing w:before="0" w:after="80" w:line="276" w:lineRule="auto"/>
      </w:pPr>
      <w:r>
        <w:rPr>
          <w:rFonts w:ascii="Arial" w:hAnsi="Arial"/>
          <w:color w:val="1E293B"/>
          <w:sz w:val="20"/>
        </w:rPr>
        <w:t>*(Catatan Penyesuaian Denda: Berdasarkan Pasal 1 dan Pasal 3 Peraturan Mahkamah Agung (PERMA) Republik Indonesia No. 2 Tahun 2012 tentang Penyesuaian Batasan Tindak Pidana Ringan dan Jumlah Denda dalam KUHP, nilai nominal denda dikalikan 1.000 (seribu) kali lipat, sehingga menjadi maksimal Rp900.000,00).*</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**2. Anatomi dan Unsur-Unsur Delik (Elements of the Crime)**</w:t>
      </w:r>
    </w:p>
    <w:p>
      <w:pPr>
        <w:spacing w:before="0" w:after="80" w:line="276" w:lineRule="auto"/>
      </w:pPr>
      <w:r>
        <w:rPr>
          <w:rFonts w:ascii="Arial" w:hAnsi="Arial"/>
          <w:color w:val="1E293B"/>
          <w:sz w:val="20"/>
        </w:rPr>
        <w:t>Pasal 362 KUHP merupakan delik materiil formal yang memuat dua kategori unsur yang wajib dibuktikan secara kumulatif oleh Jaksa Penuntut Umum:</w:t>
      </w:r>
    </w:p>
    <w:p>
      <w:pPr>
        <w:spacing w:before="0" w:after="80"/>
      </w:pPr>
    </w:p>
    <w:p>
      <w:pPr>
        <w:spacing w:before="0" w:after="80" w:line="276" w:lineRule="auto"/>
      </w:pPr>
      <w:r>
        <w:rPr>
          <w:rFonts w:ascii="Arial" w:hAnsi="Arial"/>
          <w:color w:val="1E293B"/>
          <w:sz w:val="20"/>
        </w:rPr>
        <w:t>*   **Unsur-Unsur Objektif (*Actus Reus*):**</w:t>
      </w:r>
    </w:p>
    <w:p>
      <w:pPr>
        <w:spacing w:before="0" w:after="80" w:line="276" w:lineRule="auto"/>
      </w:pPr>
      <w:r>
        <w:rPr>
          <w:rFonts w:ascii="Arial" w:hAnsi="Arial"/>
          <w:color w:val="1E293B"/>
          <w:sz w:val="20"/>
        </w:rPr>
        <w:t xml:space="preserve">    1.  **Barang siapa:** Setiap orang selaku subjek hukum pidana yang mampu bertanggung jawab (*toerekeningsvatbaar*).</w:t>
      </w:r>
    </w:p>
    <w:p>
      <w:pPr>
        <w:spacing w:before="0" w:after="80" w:line="276" w:lineRule="auto"/>
      </w:pPr>
      <w:r>
        <w:rPr>
          <w:rFonts w:ascii="Arial" w:hAnsi="Arial"/>
          <w:color w:val="1E293B"/>
          <w:sz w:val="20"/>
        </w:rPr>
        <w:t xml:space="preserve">    2.  **Mengambil (*wegnemen*):** Perbuatan memindahkan penguasaan nyata atas suatu barang dari kekuasaan pemilik sah atau pemegang sah ke dalam kekuasaan mutlak pelaku, sehingga perbuatan tersebut memutuskan hubungan fisik benda tersebut dengan pemilik aslinya.</w:t>
      </w:r>
    </w:p>
    <w:p>
      <w:pPr>
        <w:spacing w:before="0" w:after="80" w:line="276" w:lineRule="auto"/>
      </w:pPr>
      <w:r>
        <w:rPr>
          <w:rFonts w:ascii="Arial" w:hAnsi="Arial"/>
          <w:color w:val="1E293B"/>
          <w:sz w:val="20"/>
        </w:rPr>
        <w:t xml:space="preserve">    3.  **Suatu barang (*enig goed*):** Segala benda bergerak yang memiliki nilai ekonomis, baik berwujud maupun tidak berwujud (termasuk tenaga listrik berdasarkan yurisprudensi *Hoge Raad 1921* yang diadopsi dalam praktik peradilan Indonesia).</w:t>
      </w:r>
    </w:p>
    <w:p>
      <w:pPr>
        <w:spacing w:before="0" w:after="80" w:line="276" w:lineRule="auto"/>
      </w:pPr>
      <w:r>
        <w:rPr>
          <w:rFonts w:ascii="Arial" w:hAnsi="Arial"/>
          <w:color w:val="1E293B"/>
          <w:sz w:val="20"/>
        </w:rPr>
        <w:t xml:space="preserve">    4.  **Sebagian atau seluruhnya milik orang lain:** Benda tersebut bukan merupakan hak milik mutlak dari pelaku; terdapat hak milik pihak lain di dalamnya.</w:t>
      </w:r>
    </w:p>
    <w:p>
      <w:pPr>
        <w:spacing w:before="0" w:after="80"/>
      </w:pPr>
    </w:p>
    <w:p>
      <w:pPr>
        <w:spacing w:before="0" w:after="80" w:line="276" w:lineRule="auto"/>
      </w:pPr>
      <w:r>
        <w:rPr>
          <w:rFonts w:ascii="Arial" w:hAnsi="Arial"/>
          <w:color w:val="1E293B"/>
          <w:sz w:val="20"/>
        </w:rPr>
        <w:t>*   **Unsur-Unsur Subjektif (*Mens Rea*):**</w:t>
      </w:r>
    </w:p>
    <w:p>
      <w:pPr>
        <w:spacing w:before="0" w:after="80" w:line="276" w:lineRule="auto"/>
      </w:pPr>
      <w:r>
        <w:rPr>
          <w:rFonts w:ascii="Arial" w:hAnsi="Arial"/>
          <w:color w:val="1E293B"/>
          <w:sz w:val="20"/>
        </w:rPr>
        <w:t xml:space="preserve">    1.  **Dengan maksud (*met het oogmerk*):** Bentuk kesengajaan (*dolus*) yang tertuju pada tujuan tertentu.</w:t>
      </w:r>
    </w:p>
    <w:p>
      <w:pPr>
        <w:spacing w:before="0" w:after="80" w:line="276" w:lineRule="auto"/>
      </w:pPr>
      <w:r>
        <w:rPr>
          <w:rFonts w:ascii="Arial" w:hAnsi="Arial"/>
          <w:color w:val="1E293B"/>
          <w:sz w:val="20"/>
        </w:rPr>
        <w:t xml:space="preserve">    2.  **Untuk dimiliki (*om zich wederrechtelijk toe te eigenen*):** Niat untuk memperlakukan barang tersebut seolah-olah miliknya sendiri (*animus domini*).</w:t>
      </w:r>
    </w:p>
    <w:p>
      <w:pPr>
        <w:spacing w:before="0" w:after="80" w:line="276" w:lineRule="auto"/>
      </w:pPr>
      <w:r>
        <w:rPr>
          <w:rFonts w:ascii="Arial" w:hAnsi="Arial"/>
          <w:color w:val="1E293B"/>
          <w:sz w:val="20"/>
        </w:rPr>
        <w:t xml:space="preserve">    3.  **Secara melawan hukum (*wederrechtelijk*):** Mengetahui bahwa perbuatan mengambil dan menguasai barang tersebut bertentangan dengan hukum, tanpa hak, atau tanpa izin dari pihak yang berwenang.</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**3. Regulasi Terkait &amp; Perkembangan Hukum Transisional**</w:t>
      </w:r>
    </w:p>
    <w:p>
      <w:pPr>
        <w:spacing w:before="0" w:after="80" w:line="276" w:lineRule="auto"/>
      </w:pPr>
      <w:r>
        <w:rPr>
          <w:rFonts w:ascii="Arial" w:hAnsi="Arial"/>
          <w:color w:val="1E293B"/>
          <w:sz w:val="20"/>
        </w:rPr>
        <w:t>*   **Ketentuan Tipiring (Pasal 364 KUHP jo. PERMA No. 2/2012):** Jika nilai barang yang dicuri tidak melebihi Rp2.500.000,00 (dua juta lima ratus ribu rupiah) dan tidak disertai unsur pemberatan (sebagaimana Pasal 363 atau 365 KUHP), maka dikualifikasi sebagai Pencurian Ringan (*Lichte Diefstal*), diputus melalui pemeriksaan cepat, dan tersangka tidak dapat dikenakan penahanan rutan.</w:t>
      </w:r>
    </w:p>
    <w:p>
      <w:pPr>
        <w:spacing w:before="0" w:after="80" w:line="276" w:lineRule="auto"/>
      </w:pPr>
      <w:r>
        <w:rPr>
          <w:rFonts w:ascii="Arial" w:hAnsi="Arial"/>
          <w:color w:val="1E293B"/>
          <w:sz w:val="20"/>
        </w:rPr>
        <w:t>*   **Perspektif KUHP Baru (UU No. 1 Tahun 2023 tentang KUHP):**</w:t>
      </w:r>
    </w:p>
    <w:p>
      <w:pPr>
        <w:spacing w:before="0" w:after="80" w:line="276" w:lineRule="auto"/>
      </w:pPr>
      <w:r>
        <w:rPr>
          <w:rFonts w:ascii="Arial" w:hAnsi="Arial"/>
          <w:color w:val="1E293B"/>
          <w:sz w:val="20"/>
        </w:rPr>
        <w:t xml:space="preserve">    Dalam kodifikasi baru yang berlaku penuh pada Januari 2026, ketentuan pencurian biasa diatur dalam **Pasal 476 UU No. 1 Tahun 2023**, yang mengancam pelaku dengan pidana penjara paling lama 5 (lima) tahun atau pidana denda paling banyak Kategori V (Rp500.000.000,00).</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**4. Kepatuhan Praktis &amp; Penyelesaian Perkara**</w:t>
      </w:r>
    </w:p>
    <w:p>
      <w:pPr>
        <w:spacing w:before="0" w:after="80" w:line="276" w:lineRule="auto"/>
      </w:pPr>
      <w:r>
        <w:rPr>
          <w:rFonts w:ascii="Arial" w:hAnsi="Arial"/>
          <w:color w:val="1E293B"/>
          <w:sz w:val="20"/>
        </w:rPr>
        <w:t>*   **Penyelesaian Keadilan Restoratif (*Restorative Justice*):** Berdasarkan Peraturan Kejaksaan RI No. 15 Tahun 2020 dan Peraturan Kepolisian RI No. 8 Tahun 2021, perkara Pasal 362 KUHP dapat dihentikan penuntutannya jika:</w:t>
      </w:r>
    </w:p>
    <w:p>
      <w:pPr>
        <w:spacing w:before="0" w:after="80" w:line="276" w:lineRule="auto"/>
      </w:pPr>
      <w:r>
        <w:rPr>
          <w:rFonts w:ascii="Arial" w:hAnsi="Arial"/>
          <w:color w:val="1E293B"/>
          <w:sz w:val="20"/>
        </w:rPr>
        <w:t xml:space="preserve">    1.  Tersangka baru pertama kali melakukan tindak pidana;</w:t>
      </w:r>
    </w:p>
    <w:p>
      <w:pPr>
        <w:spacing w:before="0" w:after="80" w:line="276" w:lineRule="auto"/>
      </w:pPr>
      <w:r>
        <w:rPr>
          <w:rFonts w:ascii="Arial" w:hAnsi="Arial"/>
          <w:color w:val="1E293B"/>
          <w:sz w:val="20"/>
        </w:rPr>
        <w:t xml:space="preserve">    2.  Nilai kerugian di bawah batas yang ditentukan atau telah dipulihkan;</w:t>
      </w:r>
    </w:p>
    <w:p>
      <w:pPr>
        <w:spacing w:before="0" w:after="80" w:line="276" w:lineRule="auto"/>
      </w:pPr>
      <w:r>
        <w:rPr>
          <w:rFonts w:ascii="Arial" w:hAnsi="Arial"/>
          <w:color w:val="1E293B"/>
          <w:sz w:val="20"/>
        </w:rPr>
        <w:t xml:space="preserve">    3.  Terdapat kesepakatan damai sukarela antara korban dan pelaku tanpa adanya paksaan.</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b/>
          <w:color w:val="0F172A"/>
          <w:sz w:val="21"/>
        </w:rPr>
        <w:t>**1. 主要法定依据：《印度尼西亚刑法典》（KUHP）第362条**</w:t>
      </w:r>
    </w:p>
    <w:p>
      <w:pPr>
        <w:spacing w:before="0" w:after="80" w:line="276" w:lineRule="auto"/>
      </w:pPr>
      <w:r>
        <w:rPr>
          <w:rFonts w:ascii="Arial" w:hAnsi="Arial"/>
          <w:color w:val="1E293B"/>
          <w:sz w:val="20"/>
        </w:rPr>
        <w:t>在印度尼西亚实体刑法体系中，《刑法典》（KUHP）第362条专门规制普通盗窃罪（*diefstal*）。该条文的法定表述如下：</w:t>
      </w:r>
    </w:p>
    <w:p>
      <w:pPr>
        <w:spacing w:before="0" w:after="80"/>
      </w:pPr>
    </w:p>
    <w:p>
      <w:pPr>
        <w:spacing w:before="0" w:after="80" w:line="276" w:lineRule="auto"/>
      </w:pPr>
      <w:r>
        <w:rPr>
          <w:rFonts w:ascii="Arial" w:hAnsi="Arial"/>
          <w:color w:val="1E293B"/>
          <w:sz w:val="20"/>
        </w:rPr>
        <w:t>&gt; *"任何人以非法占有为目的，窃取完全或部分属于他人的财物的，构成盗窃罪，处最高五年有期徒刑，或处最高九百印尼盾罚金。"*</w:t>
      </w:r>
    </w:p>
    <w:p>
      <w:pPr>
        <w:spacing w:before="0" w:after="80"/>
      </w:pPr>
    </w:p>
    <w:p>
      <w:pPr>
        <w:spacing w:before="0" w:after="80" w:line="276" w:lineRule="auto"/>
      </w:pPr>
      <w:r>
        <w:rPr>
          <w:rFonts w:ascii="Arial" w:hAnsi="Arial"/>
          <w:color w:val="1E293B"/>
          <w:sz w:val="20"/>
        </w:rPr>
        <w:t>*（注：关于罚金数额的司法调整：依据印度尼西亚最高法院2012年第2号条例（PERMA No. 2/2012）第1条及第3条关于调整微罪标准与KUHP罚金数额的规定，该法定罚金基准数额上调1,000（一千）倍，即调整后的最高罚金限额为900,000印尼盾）。*</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**2. 犯罪构成要件剖析（Elements of the Crime）**</w:t>
      </w:r>
    </w:p>
    <w:p>
      <w:pPr>
        <w:spacing w:before="0" w:after="80" w:line="276" w:lineRule="auto"/>
      </w:pPr>
      <w:r>
        <w:rPr>
          <w:rFonts w:ascii="Arial" w:hAnsi="Arial"/>
          <w:color w:val="1E293B"/>
          <w:sz w:val="20"/>
        </w:rPr>
        <w:t>第362条在刑法理论上属于结果犯与行为犯结合的复合形态，检察官必须同时证明以下客观要件与主观要件：</w:t>
      </w:r>
    </w:p>
    <w:p>
      <w:pPr>
        <w:spacing w:before="0" w:after="80"/>
      </w:pPr>
    </w:p>
    <w:p>
      <w:pPr>
        <w:spacing w:before="0" w:after="80" w:line="276" w:lineRule="auto"/>
      </w:pPr>
      <w:r>
        <w:rPr>
          <w:rFonts w:ascii="Arial" w:hAnsi="Arial"/>
          <w:color w:val="1E293B"/>
          <w:sz w:val="20"/>
        </w:rPr>
        <w:t>*   **客观要件（*Actus Reus*）：**</w:t>
      </w:r>
    </w:p>
    <w:p>
      <w:pPr>
        <w:spacing w:before="0" w:after="80" w:line="276" w:lineRule="auto"/>
      </w:pPr>
      <w:r>
        <w:rPr>
          <w:rFonts w:ascii="Arial" w:hAnsi="Arial"/>
          <w:color w:val="1E293B"/>
          <w:sz w:val="20"/>
        </w:rPr>
        <w:t xml:space="preserve">    1.  **任何人（行为主体）：** 具备完全刑事责任能力（*toerekeningsvatbaar*）的自然人。</w:t>
      </w:r>
    </w:p>
    <w:p>
      <w:pPr>
        <w:spacing w:before="0" w:after="80" w:line="276" w:lineRule="auto"/>
      </w:pPr>
      <w:r>
        <w:rPr>
          <w:rFonts w:ascii="Arial" w:hAnsi="Arial"/>
          <w:color w:val="1E293B"/>
          <w:sz w:val="20"/>
        </w:rPr>
        <w:t xml:space="preserve">    2.  **窃取（*wegnemen*）：** 破坏原合法所有权人或合法占有人对财物的实际控制，将财物转移至行为人自身的排他性控制之下的行为。</w:t>
      </w:r>
    </w:p>
    <w:p>
      <w:pPr>
        <w:spacing w:before="0" w:after="80" w:line="276" w:lineRule="auto"/>
      </w:pPr>
      <w:r>
        <w:rPr>
          <w:rFonts w:ascii="Arial" w:hAnsi="Arial"/>
          <w:color w:val="1E293B"/>
          <w:sz w:val="20"/>
        </w:rPr>
        <w:t xml:space="preserve">    3.  **财物（*enig goed*）：** 具有经济价值的一切动产，包括有形财产及无形财产（依照印尼司法实践广泛引用的荷兰最高法院1921年判例，电能等能源形态亦被认定为财产）。</w:t>
      </w:r>
    </w:p>
    <w:p>
      <w:pPr>
        <w:spacing w:before="0" w:after="80" w:line="276" w:lineRule="auto"/>
      </w:pPr>
      <w:r>
        <w:rPr>
          <w:rFonts w:ascii="Arial" w:hAnsi="Arial"/>
          <w:color w:val="1E293B"/>
          <w:sz w:val="20"/>
        </w:rPr>
        <w:t xml:space="preserve">    4.  **全部或部分属于他人所有：** 标的物并非完全归属于行为人本人，他人对其享有合法的所有权份额或物权利益。</w:t>
      </w:r>
    </w:p>
    <w:p>
      <w:pPr>
        <w:spacing w:before="0" w:after="80"/>
      </w:pPr>
    </w:p>
    <w:p>
      <w:pPr>
        <w:spacing w:before="0" w:after="80" w:line="276" w:lineRule="auto"/>
      </w:pPr>
      <w:r>
        <w:rPr>
          <w:rFonts w:ascii="Arial" w:hAnsi="Arial"/>
          <w:color w:val="1E293B"/>
          <w:sz w:val="20"/>
        </w:rPr>
        <w:t>*   **主观要件（*Mens Rea*）：**</w:t>
      </w:r>
    </w:p>
    <w:p>
      <w:pPr>
        <w:spacing w:before="0" w:after="80" w:line="276" w:lineRule="auto"/>
      </w:pPr>
      <w:r>
        <w:rPr>
          <w:rFonts w:ascii="Arial" w:hAnsi="Arial"/>
          <w:color w:val="1E293B"/>
          <w:sz w:val="20"/>
        </w:rPr>
        <w:t xml:space="preserve">    1.  **具有目的/意图（*met het oogmerk*）：** 表现为针对特定犯罪结果的直接故意（*dolus*）。</w:t>
      </w:r>
    </w:p>
    <w:p>
      <w:pPr>
        <w:spacing w:before="0" w:after="80" w:line="276" w:lineRule="auto"/>
      </w:pPr>
      <w:r>
        <w:rPr>
          <w:rFonts w:ascii="Arial" w:hAnsi="Arial"/>
          <w:color w:val="1E293B"/>
          <w:sz w:val="20"/>
        </w:rPr>
        <w:t xml:space="preserve">    2.  **非法占有（*om zich wederrechtelijk toe te eigenen*）：** 意图将他人财物视同己有并行使处分权（*animus domini*）。</w:t>
      </w:r>
    </w:p>
    <w:p>
      <w:pPr>
        <w:spacing w:before="0" w:after="80" w:line="276" w:lineRule="auto"/>
      </w:pPr>
      <w:r>
        <w:rPr>
          <w:rFonts w:ascii="Arial" w:hAnsi="Arial"/>
          <w:color w:val="1E293B"/>
          <w:sz w:val="20"/>
        </w:rPr>
        <w:t xml:space="preserve">    3.  **违法性（*wederrechtelijk*）：** 明确知晓该窃取及占有行为违反现行法律规定，系无权占有且未取得权利人合法授权或许可。</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**3. 相关配套法规与新刑法衔接**</w:t>
      </w:r>
    </w:p>
    <w:p>
      <w:pPr>
        <w:spacing w:before="0" w:after="80" w:line="276" w:lineRule="auto"/>
      </w:pPr>
      <w:r>
        <w:rPr>
          <w:rFonts w:ascii="Arial" w:hAnsi="Arial"/>
          <w:color w:val="1E293B"/>
          <w:sz w:val="20"/>
        </w:rPr>
        <w:t>*   **轻微盗窃认定标准（KUHP第364条结合PERMA 2012年第2号条例）：** 若涉案财物价值不超过2,500,000印尼盾（二百五十万印尼盾），且不具备加重情节（如第363条夜间入室盗窃或第365条抢劫型盗窃），则依法构成轻微盗窃罪（*Lichte Diefstal*），适用简易审判程序，且侦查机关不得对嫌疑人实施羁押。</w:t>
      </w:r>
    </w:p>
    <w:p>
      <w:pPr>
        <w:spacing w:before="0" w:after="80" w:line="276" w:lineRule="auto"/>
      </w:pPr>
      <w:r>
        <w:rPr>
          <w:rFonts w:ascii="Arial" w:hAnsi="Arial"/>
          <w:color w:val="1E293B"/>
          <w:sz w:val="20"/>
        </w:rPr>
        <w:t>*   **新《刑法典》（2023年第1号法律）过渡展望：**</w:t>
      </w:r>
    </w:p>
    <w:p>
      <w:pPr>
        <w:spacing w:before="0" w:after="80" w:line="276" w:lineRule="auto"/>
      </w:pPr>
      <w:r>
        <w:rPr>
          <w:rFonts w:ascii="Arial" w:hAnsi="Arial"/>
          <w:color w:val="1E293B"/>
          <w:sz w:val="20"/>
        </w:rPr>
        <w:t xml:space="preserve">    根据将于2026年1月正式生效的印尼新刑法典（UU No. 1/2023），普通盗窃罪被收录于**第476条**，其法定刑为最高5（五）年有期徒刑，或处最高第五级罚金（即最高500,000,000印尼盾）。</w:t>
      </w:r>
    </w:p>
    <w:p>
      <w:pPr>
        <w:spacing w:before="0" w:after="80"/>
      </w:pPr>
    </w:p>
    <w:p>
      <w:pPr>
        <w:spacing w:before="0" w:after="80" w:line="276" w:lineRule="auto"/>
      </w:pPr>
      <w:r>
        <w:rPr>
          <w:rFonts w:ascii="Arial" w:hAnsi="Arial"/>
          <w:color w:val="1E293B"/>
          <w:sz w:val="20"/>
        </w:rPr>
        <w:t>---</w:t>
      </w:r>
    </w:p>
    <w:p>
      <w:pPr>
        <w:spacing w:before="0" w:after="80"/>
      </w:pPr>
    </w:p>
    <w:p>
      <w:pPr>
        <w:spacing w:before="0" w:after="80" w:line="276" w:lineRule="auto"/>
      </w:pPr>
      <w:r>
        <w:rPr>
          <w:rFonts w:ascii="Arial" w:hAnsi="Arial"/>
          <w:color w:val="1E293B"/>
          <w:sz w:val="20"/>
        </w:rPr>
        <w:t>**4. 诉讼合规与纠纷化解指引**</w:t>
      </w:r>
    </w:p>
    <w:p>
      <w:pPr>
        <w:spacing w:before="0" w:after="80" w:line="276" w:lineRule="auto"/>
      </w:pPr>
      <w:r>
        <w:rPr>
          <w:rFonts w:ascii="Arial" w:hAnsi="Arial"/>
          <w:color w:val="1E293B"/>
          <w:sz w:val="20"/>
        </w:rPr>
        <w:t>*   **恢复性司法（Restorative Justice）适用：** 依据印尼最高检察署2020年第15号条例及印尼国家警察2021年第8号规章，涉嫌违反第362条的案件在满足以下条件时，可依法终结刑事追诉（不起诉或撤案）：</w:t>
      </w:r>
    </w:p>
    <w:p>
      <w:pPr>
        <w:spacing w:before="0" w:after="80" w:line="276" w:lineRule="auto"/>
      </w:pPr>
      <w:r>
        <w:rPr>
          <w:rFonts w:ascii="Arial" w:hAnsi="Arial"/>
          <w:color w:val="1E293B"/>
          <w:sz w:val="20"/>
        </w:rPr>
        <w:t xml:space="preserve">    1.  嫌疑人系初犯；</w:t>
      </w:r>
    </w:p>
    <w:p>
      <w:pPr>
        <w:spacing w:before="0" w:after="80" w:line="276" w:lineRule="auto"/>
      </w:pPr>
      <w:r>
        <w:rPr>
          <w:rFonts w:ascii="Arial" w:hAnsi="Arial"/>
          <w:color w:val="1E293B"/>
          <w:sz w:val="20"/>
        </w:rPr>
        <w:t xml:space="preserve">    2.  涉案损失金额在法定标准限度以内，或涉案损失已获得全额赔偿/财物已归还；</w:t>
      </w:r>
    </w:p>
    <w:p>
      <w:pPr>
        <w:spacing w:before="0" w:after="80" w:line="276" w:lineRule="auto"/>
      </w:pPr>
      <w:r>
        <w:rPr>
          <w:rFonts w:ascii="Arial" w:hAnsi="Arial"/>
          <w:color w:val="1E293B"/>
          <w:sz w:val="20"/>
        </w:rPr>
        <w:t xml:space="preserve">    3.  被害人与嫌疑人之间基于自愿原则达成正式书面和解协议，且不存在胁迫情形。</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