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372"</w:t>
      </w:r>
    </w:p>
    <w:p>
      <w:pPr>
        <w:spacing w:before="0" w:after="360"/>
        <w:jc w:val="center"/>
      </w:pPr>
      <w:r>
        <w:rPr>
          <w:rFonts w:ascii="Arial" w:hAnsi="Arial"/>
          <w:color w:val="64748B"/>
          <w:sz w:val="17"/>
        </w:rPr>
        <w:t>CATEGORY: CRIMINAL LAW &amp; PENAL CODE (KUHP) | DUAL LANGUAGE: ID ↔ ENGLISH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Tindak Pidana Penggelapan (Embezzlement)</w:t>
      </w:r>
    </w:p>
    <w:p>
      <w:pPr>
        <w:spacing w:before="0" w:after="80"/>
      </w:pPr>
    </w:p>
    <w:p>
      <w:pPr>
        <w:spacing w:before="0" w:after="80" w:line="276" w:lineRule="auto"/>
      </w:pPr>
      <w:r>
        <w:rPr>
          <w:rFonts w:ascii="Arial" w:hAnsi="Arial"/>
          <w:color w:val="1E293B"/>
          <w:sz w:val="20"/>
        </w:rPr>
        <w:t>Barang siapa dengan sengaja dan melawan hukum memiliki barang sesuatu yang seluruhnya atau sebagian adalah kepunyaan orang lain, tetapi yang ada dalam kekuasaannya bukan karena kejahatan, diancam karena penggelapan, dengan pidana penjara paling lama empat tahun.</w:t>
      </w:r>
    </w:p>
    <w:p>
      <w:pPr>
        <w:spacing w:before="0" w:after="80"/>
      </w:pPr>
    </w:p>
    <w:p>
      <w:pPr>
        <w:spacing w:before="0" w:after="80" w:line="276" w:lineRule="auto"/>
      </w:pPr>
      <w:r>
        <w:rPr>
          <w:rFonts w:ascii="Arial" w:hAnsi="Arial"/>
          <w:color w:val="1E293B"/>
          <w:sz w:val="20"/>
        </w:rPr>
        <w:t>**Ringkasan Regulasi:**</w:t>
      </w:r>
    </w:p>
    <w:p>
      <w:pPr>
        <w:spacing w:before="0" w:after="80" w:line="276" w:lineRule="auto"/>
      </w:pPr>
      <w:r>
        <w:rPr>
          <w:rFonts w:ascii="Arial" w:hAnsi="Arial"/>
          <w:color w:val="1E293B"/>
          <w:sz w:val="20"/>
        </w:rPr>
        <w:t>Kodifikasi hukum pidana material Indonesia. Mengatur asas legalitas, pertanggungjawaban pidana korporasi, delik penipuan (Pasal 378 KUHP / Pasal 492 UU 1/2023), penggelapan (Pasal 372 KUHP / Pasal 486 UU 1/2023), pemalsuan surat, dan tindak pidana korupsi/suap.</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Criminal Embezzlement &amp; Misappropriation</w:t>
      </w:r>
    </w:p>
    <w:p>
      <w:pPr>
        <w:spacing w:before="0" w:after="80"/>
      </w:pPr>
    </w:p>
    <w:p>
      <w:pPr>
        <w:spacing w:before="0" w:after="80" w:line="276" w:lineRule="auto"/>
      </w:pPr>
      <w:r>
        <w:rPr>
          <w:rFonts w:ascii="Arial" w:hAnsi="Arial"/>
          <w:color w:val="1E293B"/>
          <w:sz w:val="20"/>
        </w:rPr>
        <w:t>Whosoever deliberately and unlawfully possesses or converts property that wholly or partly belongs to another person, but which is in their custody otherwise than as a result of a crime, is punishable for embezzlement with a maximum imprisonment of four years.</w:t>
      </w:r>
    </w:p>
    <w:p>
      <w:pPr>
        <w:spacing w:before="0" w:after="80"/>
      </w:pPr>
    </w:p>
    <w:p>
      <w:pPr>
        <w:spacing w:before="0" w:after="80" w:line="276" w:lineRule="auto"/>
      </w:pPr>
      <w:r>
        <w:rPr>
          <w:rFonts w:ascii="Arial" w:hAnsi="Arial"/>
          <w:color w:val="1E293B"/>
          <w:sz w:val="20"/>
        </w:rPr>
        <w:t>**Regulatory Summary:**</w:t>
      </w:r>
    </w:p>
    <w:p>
      <w:pPr>
        <w:spacing w:before="0" w:after="80" w:line="276" w:lineRule="auto"/>
      </w:pPr>
      <w:r>
        <w:rPr>
          <w:rFonts w:ascii="Arial" w:hAnsi="Arial"/>
          <w:color w:val="1E293B"/>
          <w:sz w:val="20"/>
        </w:rPr>
        <w:t>Codification of substantive Indonesian criminal law. Establishes the principle of legality, corporate criminal liability, statutory offenses including commercial fraud (Article 378 KUHP), embezzlement (Article 372 KUHP), document forgery, and bribery/corruption offences.</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