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378"</w:t>
      </w:r>
    </w:p>
    <w:p>
      <w:pPr>
        <w:spacing w:before="0" w:after="360"/>
        <w:jc w:val="center"/>
      </w:pPr>
      <w:r>
        <w:rPr>
          <w:rFonts w:ascii="Arial" w:hAnsi="Arial"/>
          <w:color w:val="64748B"/>
          <w:sz w:val="17"/>
        </w:rPr>
        <w:t>CATEGORY: CRIMINAL LAW &amp; PENAL CODE (KUHP)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Statuta dan Landasan Hukum</w:t>
      </w:r>
    </w:p>
    <w:p>
      <w:pPr>
        <w:spacing w:before="0" w:after="80" w:line="276" w:lineRule="auto"/>
      </w:pPr>
      <w:r>
        <w:rPr>
          <w:rFonts w:ascii="Arial" w:hAnsi="Arial"/>
          <w:color w:val="1E293B"/>
          <w:sz w:val="20"/>
        </w:rPr>
        <w:t>Tindak pidana penipuan diatur secara fundamental dalam **Pasal 378 Kitab Undang-Undang Hukum Pidana (KUHP lama / Wetboek van Strafrecht)**. Dalam kerangka pembaruan hukum pidana nasional, tindak pidana ini diadopsi ke dalam **Pasal 492 Undang-Undang Nomor 1 Tahun 2023 tentang Kitab Undang-Undang Hukum Pidana (KUHP Baru)**.</w:t>
      </w:r>
    </w:p>
    <w:p>
      <w:pPr>
        <w:spacing w:before="0" w:after="80"/>
      </w:pPr>
    </w:p>
    <w:p>
      <w:pPr>
        <w:spacing w:before="0" w:after="80" w:line="276" w:lineRule="auto"/>
      </w:pPr>
      <w:r>
        <w:rPr>
          <w:rFonts w:ascii="Arial" w:hAnsi="Arial"/>
          <w:color w:val="1E293B"/>
          <w:sz w:val="20"/>
        </w:rPr>
        <w:t>* **Teks Resmi Pasal 378 KUHP:**</w:t>
      </w:r>
    </w:p>
    <w:p>
      <w:pPr>
        <w:spacing w:before="0" w:after="80" w:line="276" w:lineRule="auto"/>
      </w:pPr>
      <w:r>
        <w:rPr>
          <w:rFonts w:ascii="Arial" w:hAnsi="Arial"/>
          <w:color w:val="1E293B"/>
          <w:sz w:val="20"/>
        </w:rPr>
        <w:t xml:space="preserve">  &gt; *"Barang siapa dengan maksud untuk menguntungkan diri sendiri atau orang lain secara melawan hukum, dengan memakai nama palsu atau martabat palsu, dengan tipu muslihat, ataupun rangkaian kebohongan, menggerakkan orang lain untuk menyerahkan barang sesuatu kepadanya, atau supaya memberi utang maupun menghapuskan piutang, diancam karena penipuan dengan pidana penjara paling lama empat tahun."*</w:t>
      </w:r>
    </w:p>
    <w:p>
      <w:pPr>
        <w:spacing w:before="0" w:after="80"/>
      </w:pPr>
    </w:p>
    <w:p>
      <w:pPr>
        <w:spacing w:before="0" w:after="80" w:line="276" w:lineRule="auto"/>
      </w:pPr>
      <w:r>
        <w:rPr>
          <w:rFonts w:ascii="Arial" w:hAnsi="Arial"/>
          <w:color w:val="1E293B"/>
          <w:sz w:val="20"/>
        </w:rPr>
        <w:t>* **Teks Padanan Pasal 492 UU No. 1 Tahun 2023 (KUHP Baru):**</w:t>
      </w:r>
    </w:p>
    <w:p>
      <w:pPr>
        <w:spacing w:before="0" w:after="80" w:line="276" w:lineRule="auto"/>
      </w:pPr>
      <w:r>
        <w:rPr>
          <w:rFonts w:ascii="Arial" w:hAnsi="Arial"/>
          <w:color w:val="1E293B"/>
          <w:sz w:val="20"/>
        </w:rPr>
        <w:t xml:space="preserve">  &gt; *"Setiap Orang yang dengan maksud menguntungkan diri sendiri atau orang lain secara melawan hukum dengan memakai nama palsu atau kedudukan palsu, menggunakan tipu muslihat atau rangkaian kata bohong, menggerakkan orang lain untuk menyerahkan suatu barang, memberi utang, membuat pengakuan utang, atau menghapuskan piutang, dipidana karena penipuan, dengan pidana penjara paling lama 4 (empat) tahun atau pidana denda paling banyak kategori V (maksimal Rp500.000.000,00)."*</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Dekonstruksi Unsur-Unsur Yuridis (Tatbestand)</w:t>
      </w:r>
    </w:p>
    <w:p>
      <w:pPr>
        <w:spacing w:before="0" w:after="80" w:line="276" w:lineRule="auto"/>
      </w:pPr>
      <w:r>
        <w:rPr>
          <w:rFonts w:ascii="Arial" w:hAnsi="Arial"/>
          <w:color w:val="1E293B"/>
          <w:sz w:val="20"/>
        </w:rPr>
        <w:t>Untuk mempidana pelaku berdasarkan Pasal 378 KUHP, penuntut umum wajib membuktikan kumulasi unsur-unsur berikut:</w:t>
      </w:r>
    </w:p>
    <w:p>
      <w:pPr>
        <w:spacing w:before="0" w:after="80"/>
      </w:pPr>
    </w:p>
    <w:p>
      <w:pPr>
        <w:spacing w:before="0" w:after="80" w:line="276" w:lineRule="auto"/>
      </w:pPr>
      <w:r>
        <w:rPr>
          <w:rFonts w:ascii="Arial" w:hAnsi="Arial"/>
          <w:color w:val="1E293B"/>
          <w:sz w:val="20"/>
        </w:rPr>
        <w:t>1. **Unsur Subjektif:**</w:t>
      </w:r>
    </w:p>
    <w:p>
      <w:pPr>
        <w:spacing w:before="0" w:after="80" w:line="276" w:lineRule="auto"/>
      </w:pPr>
      <w:r>
        <w:rPr>
          <w:rFonts w:ascii="Arial" w:hAnsi="Arial"/>
          <w:color w:val="1E293B"/>
          <w:sz w:val="20"/>
        </w:rPr>
        <w:t xml:space="preserve">   * **Maksud (*oogmerk*):** Pelaku menghendaki dan mengetahui akibat dari perbuatannya.</w:t>
      </w:r>
    </w:p>
    <w:p>
      <w:pPr>
        <w:spacing w:before="0" w:after="80" w:line="276" w:lineRule="auto"/>
      </w:pPr>
      <w:r>
        <w:rPr>
          <w:rFonts w:ascii="Arial" w:hAnsi="Arial"/>
          <w:color w:val="1E293B"/>
          <w:sz w:val="20"/>
        </w:rPr>
        <w:t xml:space="preserve">   * **Menguntungkan diri sendiri atau orang lain:** Adanya tujuan penambahan nilai ekonomis atau perolehan manfaat.</w:t>
      </w:r>
    </w:p>
    <w:p>
      <w:pPr>
        <w:spacing w:before="0" w:after="80" w:line="276" w:lineRule="auto"/>
      </w:pPr>
      <w:r>
        <w:rPr>
          <w:rFonts w:ascii="Arial" w:hAnsi="Arial"/>
          <w:color w:val="1E293B"/>
          <w:sz w:val="20"/>
        </w:rPr>
        <w:t xml:space="preserve">   * **Secara melawan hukum (*wederrechtelijk*):** Perbuatan dilakukan tanpa hak, bertentangan dengan hukum positif, atau melanggar kepatutan hukum.</w:t>
      </w:r>
    </w:p>
    <w:p>
      <w:pPr>
        <w:spacing w:before="0" w:after="80"/>
      </w:pPr>
    </w:p>
    <w:p>
      <w:pPr>
        <w:spacing w:before="0" w:after="80" w:line="276" w:lineRule="auto"/>
      </w:pPr>
      <w:r>
        <w:rPr>
          <w:rFonts w:ascii="Arial" w:hAnsi="Arial"/>
          <w:color w:val="1E293B"/>
          <w:sz w:val="20"/>
        </w:rPr>
        <w:t>2. **Unsur Objektif:**</w:t>
      </w:r>
    </w:p>
    <w:p>
      <w:pPr>
        <w:spacing w:before="0" w:after="80" w:line="276" w:lineRule="auto"/>
      </w:pPr>
      <w:r>
        <w:rPr>
          <w:rFonts w:ascii="Arial" w:hAnsi="Arial"/>
          <w:color w:val="1E293B"/>
          <w:sz w:val="20"/>
        </w:rPr>
        <w:t xml:space="preserve">   * **Barang siapa (*hij die*):** Subjek hukum orang perseorangan (*natuurlijk persoon*).</w:t>
      </w:r>
    </w:p>
    <w:p>
      <w:pPr>
        <w:spacing w:before="0" w:after="80" w:line="276" w:lineRule="auto"/>
      </w:pPr>
      <w:r>
        <w:rPr>
          <w:rFonts w:ascii="Arial" w:hAnsi="Arial"/>
          <w:color w:val="1E293B"/>
          <w:sz w:val="20"/>
        </w:rPr>
        <w:t xml:space="preserve">   * **Menggerakkan orang lain (*beweegt*):** Mempengaruhi kehendak korban sehingga korban bertindak di luar kehendak bebasnya.</w:t>
      </w:r>
    </w:p>
    <w:p>
      <w:pPr>
        <w:spacing w:before="0" w:after="80" w:line="276" w:lineRule="auto"/>
      </w:pPr>
      <w:r>
        <w:rPr>
          <w:rFonts w:ascii="Arial" w:hAnsi="Arial"/>
          <w:color w:val="1E293B"/>
          <w:sz w:val="20"/>
        </w:rPr>
        <w:t xml:space="preserve">   * **Alat Penggerak / Sarana Penipuan (*misleidende middelen*):**</w:t>
      </w:r>
    </w:p>
    <w:p>
      <w:pPr>
        <w:spacing w:before="0" w:after="80" w:line="276" w:lineRule="auto"/>
      </w:pPr>
      <w:r>
        <w:rPr>
          <w:rFonts w:ascii="Arial" w:hAnsi="Arial"/>
          <w:color w:val="1E293B"/>
          <w:sz w:val="20"/>
        </w:rPr>
        <w:t xml:space="preserve">     * *Nama palsu*: Menggunakan nama yang bukan namanya sendiri untuk menimbulkan kepercayaan.</w:t>
      </w:r>
    </w:p>
    <w:p>
      <w:pPr>
        <w:spacing w:before="0" w:after="80" w:line="276" w:lineRule="auto"/>
      </w:pPr>
      <w:r>
        <w:rPr>
          <w:rFonts w:ascii="Arial" w:hAnsi="Arial"/>
          <w:color w:val="1E293B"/>
          <w:sz w:val="20"/>
        </w:rPr>
        <w:t xml:space="preserve">     * *Martabat/keadaan palsu*: Mengaku memiliki status, jabatan, atau kapasitas hukum tertentu yang sebenarnya tidak dimiliki.</w:t>
      </w:r>
    </w:p>
    <w:p>
      <w:pPr>
        <w:spacing w:before="0" w:after="80" w:line="276" w:lineRule="auto"/>
      </w:pPr>
      <w:r>
        <w:rPr>
          <w:rFonts w:ascii="Arial" w:hAnsi="Arial"/>
          <w:color w:val="1E293B"/>
          <w:sz w:val="20"/>
        </w:rPr>
        <w:t xml:space="preserve">     * *Tipu muslihat*: Perbuatan nyata atau perbuatan manipulatif yang dirancang sedemikian rupa untuk menciptakan ilusi kebenaran.</w:t>
      </w:r>
    </w:p>
    <w:p>
      <w:pPr>
        <w:spacing w:before="0" w:after="80" w:line="276" w:lineRule="auto"/>
      </w:pPr>
      <w:r>
        <w:rPr>
          <w:rFonts w:ascii="Arial" w:hAnsi="Arial"/>
          <w:color w:val="1E293B"/>
          <w:sz w:val="20"/>
        </w:rPr>
        <w:t xml:space="preserve">     * *Rangkaian kebohongan*: Untaian pernyataan tidak benar yang saling bertaut sehingga membentuk suatu narasi yang seolah-olah benar.</w:t>
      </w:r>
    </w:p>
    <w:p>
      <w:pPr>
        <w:spacing w:before="0" w:after="80" w:line="276" w:lineRule="auto"/>
      </w:pPr>
      <w:r>
        <w:rPr>
          <w:rFonts w:ascii="Arial" w:hAnsi="Arial"/>
          <w:color w:val="1E293B"/>
          <w:sz w:val="20"/>
        </w:rPr>
        <w:t xml:space="preserve">   * **Objek yang Diserahkan / Akibat:**</w:t>
      </w:r>
    </w:p>
    <w:p>
      <w:pPr>
        <w:spacing w:before="0" w:after="80" w:line="276" w:lineRule="auto"/>
      </w:pPr>
      <w:r>
        <w:rPr>
          <w:rFonts w:ascii="Arial" w:hAnsi="Arial"/>
          <w:color w:val="1E293B"/>
          <w:sz w:val="20"/>
        </w:rPr>
        <w:t xml:space="preserve">     * Menyerahkan suatu barang (bergerak maupun tidak bergerak).</w:t>
      </w:r>
    </w:p>
    <w:p>
      <w:pPr>
        <w:spacing w:before="0" w:after="80" w:line="276" w:lineRule="auto"/>
      </w:pPr>
      <w:r>
        <w:rPr>
          <w:rFonts w:ascii="Arial" w:hAnsi="Arial"/>
          <w:color w:val="1E293B"/>
          <w:sz w:val="20"/>
        </w:rPr>
        <w:t xml:space="preserve">     * Memberi utang (menciptakan perikatan kontraktual yang merugikan korban).</w:t>
      </w:r>
    </w:p>
    <w:p>
      <w:pPr>
        <w:spacing w:before="0" w:after="80" w:line="276" w:lineRule="auto"/>
      </w:pPr>
      <w:r>
        <w:rPr>
          <w:rFonts w:ascii="Arial" w:hAnsi="Arial"/>
          <w:color w:val="1E293B"/>
          <w:sz w:val="20"/>
        </w:rPr>
        <w:t xml:space="preserve">     * Menghapuskan piutang (membebaskan pelaku/pihak ketiga dari kewajiban pembayaran).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Pembedaan Doktrinal: Penipuan Pidana (*Bedrog*) vs. Wanprestasi Perdata (*Default*)</w:t>
      </w:r>
    </w:p>
    <w:p>
      <w:pPr>
        <w:spacing w:before="0" w:after="80" w:line="276" w:lineRule="auto"/>
      </w:pPr>
      <w:r>
        <w:rPr>
          <w:rFonts w:ascii="Arial" w:hAnsi="Arial"/>
          <w:color w:val="1E293B"/>
          <w:sz w:val="20"/>
        </w:rPr>
        <w:t>Persoalan paling krusial dalam penerapan Pasal 378 KUHP pada sengketa bisnis adalah batas antara tindak pidana penipuan dan perbuatan ingkar janji (wanprestasi) berdasarkan Pasal 1243 KUHPerdata:</w:t>
      </w:r>
    </w:p>
    <w:p>
      <w:pPr>
        <w:spacing w:before="0" w:after="80" w:line="276" w:lineRule="auto"/>
      </w:pPr>
      <w:r>
        <w:rPr>
          <w:rFonts w:ascii="Arial" w:hAnsi="Arial"/>
          <w:color w:val="1E293B"/>
          <w:sz w:val="20"/>
        </w:rPr>
        <w:t>* **Penipuan Pidana (Pasal 378 KUHP):** Niat jahat (*mens rea*) dan penggunaan sarana tipu muslihat telah ada **sebelum atau pada saat** perjanjian ditandatangani. Perjanjian hanyalah kedok (*instrumentarium*) untuk merampas aset korban. Asas yang berlaku adalah *fraus omnia corrumpit* (kecurangan membatalkan segalanya).</w:t>
      </w:r>
    </w:p>
    <w:p>
      <w:pPr>
        <w:spacing w:before="0" w:after="80" w:line="276" w:lineRule="auto"/>
      </w:pPr>
      <w:r>
        <w:rPr>
          <w:rFonts w:ascii="Arial" w:hAnsi="Arial"/>
          <w:color w:val="1E293B"/>
          <w:sz w:val="20"/>
        </w:rPr>
        <w:t>* **Wanprestasi Perdata (Pasal 1243 KUHPerdata):** Perjanjian lahir secara sah atas iktikad baik para pihak, namun di kemudian hari salah satu pihak tidak memenuhi prestasinya karena kelalaian, kesengajaan wanprestasi tanpa unsur tipu daya di awal, atau *force majeure*.</w:t>
      </w:r>
    </w:p>
    <w:p>
      <w:pPr>
        <w:spacing w:before="0" w:after="80" w:line="276" w:lineRule="auto"/>
      </w:pPr>
      <w:r>
        <w:rPr>
          <w:rFonts w:ascii="Arial" w:hAnsi="Arial"/>
          <w:color w:val="1E293B"/>
          <w:sz w:val="20"/>
        </w:rPr>
        <w:t>* **Yurisprudensi Tetap Mahkamah Agung:**</w:t>
      </w:r>
    </w:p>
    <w:p>
      <w:pPr>
        <w:spacing w:before="0" w:after="80" w:line="276" w:lineRule="auto"/>
      </w:pPr>
      <w:r>
        <w:rPr>
          <w:rFonts w:ascii="Arial" w:hAnsi="Arial"/>
          <w:color w:val="1E293B"/>
          <w:sz w:val="20"/>
        </w:rPr>
        <w:t xml:space="preserve">  * Putusan MA No. 1606 K/Pid/1987 dan No. 445 K/Pid/2007 menegaskan bahwa jika suatu hubungan didasarkan pada perjanjian yang sah dan pemenuhan kewajiban tidak terlaksana, maka perkara tersebut masuk ranah perdata murni, kecuali terbukti adanya rangkaian kebohongan atau nama palsu sejak awal negosiasi.</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Aspek Prosedural dan Kepatuhan Praktis</w:t>
      </w:r>
    </w:p>
    <w:p>
      <w:pPr>
        <w:spacing w:before="0" w:after="80" w:line="276" w:lineRule="auto"/>
      </w:pPr>
      <w:r>
        <w:rPr>
          <w:rFonts w:ascii="Arial" w:hAnsi="Arial"/>
          <w:color w:val="1E293B"/>
          <w:sz w:val="20"/>
        </w:rPr>
        <w:t>1. **Beban Pembuktian (Pasal 184 KUHAP):** Pelapor wajib menyediakan sekurang-kurangnya 2 (dua) alat bukti yang sah (keterangan saksi, surat/dokumen, bukti elektronik sesuai UU ITE, petunjuk, atau keterangan ahli).</w:t>
      </w:r>
    </w:p>
    <w:p>
      <w:pPr>
        <w:spacing w:before="0" w:after="80" w:line="276" w:lineRule="auto"/>
      </w:pPr>
      <w:r>
        <w:rPr>
          <w:rFonts w:ascii="Arial" w:hAnsi="Arial"/>
          <w:color w:val="1E293B"/>
          <w:sz w:val="20"/>
        </w:rPr>
        <w:t>2. **Restitusi dan Pemulihan Aset:** Korban dapat mengajukan gugatan ganti rugi perdata perbuatan melawan hukum (Pasal 1365 KUHPerdata) secara terpisah, atau menggabungkan gugatan ganti rugi ke dalam perkara pidana (Pasal 98 KUHAP).</w:t>
      </w:r>
    </w:p>
    <w:p>
      <w:pPr>
        <w:spacing w:before="0" w:after="80" w:line="276" w:lineRule="auto"/>
      </w:pPr>
      <w:r>
        <w:rPr>
          <w:rFonts w:ascii="Arial" w:hAnsi="Arial"/>
          <w:color w:val="1E293B"/>
          <w:sz w:val="20"/>
        </w:rPr>
        <w:t>3. **Mitigasi Risiko Kontrak Komersial:**</w:t>
      </w:r>
    </w:p>
    <w:p>
      <w:pPr>
        <w:spacing w:before="0" w:after="80" w:line="276" w:lineRule="auto"/>
      </w:pPr>
      <w:r>
        <w:rPr>
          <w:rFonts w:ascii="Arial" w:hAnsi="Arial"/>
          <w:color w:val="1E293B"/>
          <w:sz w:val="20"/>
        </w:rPr>
        <w:t xml:space="preserve">   * Lakukan uji tuntas (*due diligence*) menyeluruh atas identitas, legalitas perizinan, dan kapasitas hukum pihak lawan.</w:t>
      </w:r>
    </w:p>
    <w:p>
      <w:pPr>
        <w:spacing w:before="0" w:after="80" w:line="276" w:lineRule="auto"/>
      </w:pPr>
      <w:r>
        <w:rPr>
          <w:rFonts w:ascii="Arial" w:hAnsi="Arial"/>
          <w:color w:val="1E293B"/>
          <w:sz w:val="20"/>
        </w:rPr>
        <w:t xml:space="preserve">   * Dokumentasikan seluruh representasi materiil dalam klausul formal perjanjian tertulis.</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法定条文与法律渊源</w:t>
      </w:r>
    </w:p>
    <w:p>
      <w:pPr>
        <w:spacing w:before="0" w:after="80" w:line="276" w:lineRule="auto"/>
      </w:pPr>
      <w:r>
        <w:rPr>
          <w:rFonts w:ascii="Arial" w:hAnsi="Arial"/>
          <w:color w:val="1E293B"/>
          <w:sz w:val="20"/>
        </w:rPr>
        <w:t>诈骗罪主要规定于**《印度尼西亚刑法典》（KUHP旧法 / Wetboek van Strafrecht）第378条**。在印尼国家刑法改革体系下，该罪名已被纳入**2023年第1号法律《印度尼西亚刑法典》（KUHP新法）第492条**。</w:t>
      </w:r>
    </w:p>
    <w:p>
      <w:pPr>
        <w:spacing w:before="0" w:after="80"/>
      </w:pPr>
    </w:p>
    <w:p>
      <w:pPr>
        <w:spacing w:before="0" w:after="80" w:line="276" w:lineRule="auto"/>
      </w:pPr>
      <w:r>
        <w:rPr>
          <w:rFonts w:ascii="Arial" w:hAnsi="Arial"/>
          <w:color w:val="1E293B"/>
          <w:sz w:val="20"/>
        </w:rPr>
        <w:t>* **印尼《刑法典》第378条法定原文译文：**</w:t>
      </w:r>
    </w:p>
    <w:p>
      <w:pPr>
        <w:spacing w:before="0" w:after="80" w:line="276" w:lineRule="auto"/>
      </w:pPr>
      <w:r>
        <w:rPr>
          <w:rFonts w:ascii="Arial" w:hAnsi="Arial"/>
          <w:color w:val="1E293B"/>
          <w:sz w:val="20"/>
        </w:rPr>
        <w:t xml:space="preserve">  &gt; “任何人意图通过非法占有为自己或他人谋取不当利益，通过冒用假名、伪造虚假身份/地位、施用诡计，或编造一系列谎言，诱使他人向其交付财物，或使他人确立债务、免除债权的，构成诈骗罪，处最高四年有期徒刑。”</w:t>
      </w:r>
    </w:p>
    <w:p>
      <w:pPr>
        <w:spacing w:before="0" w:after="80"/>
      </w:pPr>
    </w:p>
    <w:p>
      <w:pPr>
        <w:spacing w:before="0" w:after="80" w:line="276" w:lineRule="auto"/>
      </w:pPr>
      <w:r>
        <w:rPr>
          <w:rFonts w:ascii="Arial" w:hAnsi="Arial"/>
          <w:color w:val="1E293B"/>
          <w:sz w:val="20"/>
        </w:rPr>
        <w:t>* **2023年第1号法律（新刑法典）第492条对应条款：**</w:t>
      </w:r>
    </w:p>
    <w:p>
      <w:pPr>
        <w:spacing w:before="0" w:after="80" w:line="276" w:lineRule="auto"/>
      </w:pPr>
      <w:r>
        <w:rPr>
          <w:rFonts w:ascii="Arial" w:hAnsi="Arial"/>
          <w:color w:val="1E293B"/>
          <w:sz w:val="20"/>
        </w:rPr>
        <w:t xml:space="preserve">  &gt; “任何人意图通过非法方式为自己或他人谋取不当利益，通过冒用假名、虚假地位，施用诡计或编造一系列谎言，诱使他人交付某项财物、确立债务、出具债务确认书或免除债权的，构成诈骗罪，处最高4（四）年有期徒刑，或处最高第V级罚金（最高500,000,000印尼盾）。”</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法律构成要件解析（Tatbestand）</w:t>
      </w:r>
    </w:p>
    <w:p>
      <w:pPr>
        <w:spacing w:before="0" w:after="80" w:line="276" w:lineRule="auto"/>
      </w:pPr>
      <w:r>
        <w:rPr>
          <w:rFonts w:ascii="Arial" w:hAnsi="Arial"/>
          <w:color w:val="1E293B"/>
          <w:sz w:val="20"/>
        </w:rPr>
        <w:t>依据印尼刑法第378条追究行为人刑事责任，检控方必须累积证明以下客观要件与主观要件：</w:t>
      </w:r>
    </w:p>
    <w:p>
      <w:pPr>
        <w:spacing w:before="0" w:after="80"/>
      </w:pPr>
    </w:p>
    <w:p>
      <w:pPr>
        <w:spacing w:before="0" w:after="80" w:line="276" w:lineRule="auto"/>
      </w:pPr>
      <w:r>
        <w:rPr>
          <w:rFonts w:ascii="Arial" w:hAnsi="Arial"/>
          <w:color w:val="1E293B"/>
          <w:sz w:val="20"/>
        </w:rPr>
        <w:t>1. **主观构成要件（Subjektif）：**</w:t>
      </w:r>
    </w:p>
    <w:p>
      <w:pPr>
        <w:spacing w:before="0" w:after="80" w:line="276" w:lineRule="auto"/>
      </w:pPr>
      <w:r>
        <w:rPr>
          <w:rFonts w:ascii="Arial" w:hAnsi="Arial"/>
          <w:color w:val="1E293B"/>
          <w:sz w:val="20"/>
        </w:rPr>
        <w:t xml:space="preserve">   * **故意与意图（*Oogmerk*）：** 行为人明知并追求其行为所产生的非法结果。</w:t>
      </w:r>
    </w:p>
    <w:p>
      <w:pPr>
        <w:spacing w:before="0" w:after="80" w:line="276" w:lineRule="auto"/>
      </w:pPr>
      <w:r>
        <w:rPr>
          <w:rFonts w:ascii="Arial" w:hAnsi="Arial"/>
          <w:color w:val="1E293B"/>
          <w:sz w:val="20"/>
        </w:rPr>
        <w:t xml:space="preserve">   * **谋取自身或他人利益：** 旨在获取经济利益、资产增长或其他实质性好处。</w:t>
      </w:r>
    </w:p>
    <w:p>
      <w:pPr>
        <w:spacing w:before="0" w:after="80" w:line="276" w:lineRule="auto"/>
      </w:pPr>
      <w:r>
        <w:rPr>
          <w:rFonts w:ascii="Arial" w:hAnsi="Arial"/>
          <w:color w:val="1E293B"/>
          <w:sz w:val="20"/>
        </w:rPr>
        <w:t xml:space="preserve">   * **非法性（*Wederrechtelijk*）：** 行为缺乏合法权利依据，违反现行实定法，或违背公序良俗与法律合理性。</w:t>
      </w:r>
    </w:p>
    <w:p>
      <w:pPr>
        <w:spacing w:before="0" w:after="80"/>
      </w:pPr>
    </w:p>
    <w:p>
      <w:pPr>
        <w:spacing w:before="0" w:after="80" w:line="276" w:lineRule="auto"/>
      </w:pPr>
      <w:r>
        <w:rPr>
          <w:rFonts w:ascii="Arial" w:hAnsi="Arial"/>
          <w:color w:val="1E293B"/>
          <w:sz w:val="20"/>
        </w:rPr>
        <w:t>2. **客观构成要件（Objektif）：**</w:t>
      </w:r>
    </w:p>
    <w:p>
      <w:pPr>
        <w:spacing w:before="0" w:after="80" w:line="276" w:lineRule="auto"/>
      </w:pPr>
      <w:r>
        <w:rPr>
          <w:rFonts w:ascii="Arial" w:hAnsi="Arial"/>
          <w:color w:val="1E293B"/>
          <w:sz w:val="20"/>
        </w:rPr>
        <w:t xml:space="preserve">   * **行为主体（*Barang siapa*）：** 具备刑事责任能力的自然人（*Natuurlijk persoon*）。</w:t>
      </w:r>
    </w:p>
    <w:p>
      <w:pPr>
        <w:spacing w:before="0" w:after="80" w:line="276" w:lineRule="auto"/>
      </w:pPr>
      <w:r>
        <w:rPr>
          <w:rFonts w:ascii="Arial" w:hAnsi="Arial"/>
          <w:color w:val="1E293B"/>
          <w:sz w:val="20"/>
        </w:rPr>
        <w:t xml:space="preserve">   * **诱使/促成行为（*Beweegt*）：** 对被害人的自由意志产生不当干预，导致被害人在被蒙蔽的情况下做出处分行为。</w:t>
      </w:r>
    </w:p>
    <w:p>
      <w:pPr>
        <w:spacing w:before="0" w:after="80" w:line="276" w:lineRule="auto"/>
      </w:pPr>
      <w:r>
        <w:rPr>
          <w:rFonts w:ascii="Arial" w:hAnsi="Arial"/>
          <w:color w:val="1E293B"/>
          <w:sz w:val="20"/>
        </w:rPr>
        <w:t xml:space="preserve">   * **诈欺手段（*Misleidende middelen*）：**</w:t>
      </w:r>
    </w:p>
    <w:p>
      <w:pPr>
        <w:spacing w:before="0" w:after="80" w:line="276" w:lineRule="auto"/>
      </w:pPr>
      <w:r>
        <w:rPr>
          <w:rFonts w:ascii="Arial" w:hAnsi="Arial"/>
          <w:color w:val="1E293B"/>
          <w:sz w:val="20"/>
        </w:rPr>
        <w:t xml:space="preserve">     * *冒用假名（Nama palsu）*：使用非本人法定姓名，以骗取信任。</w:t>
      </w:r>
    </w:p>
    <w:p>
      <w:pPr>
        <w:spacing w:before="0" w:after="80" w:line="276" w:lineRule="auto"/>
      </w:pPr>
      <w:r>
        <w:rPr>
          <w:rFonts w:ascii="Arial" w:hAnsi="Arial"/>
          <w:color w:val="1E293B"/>
          <w:sz w:val="20"/>
        </w:rPr>
        <w:t xml:space="preserve">     * *伪造身份/资格（Martabat/keadaan palsu）*：虚构其实际并不具备的法定身份、官职、代理权或资质。</w:t>
      </w:r>
    </w:p>
    <w:p>
      <w:pPr>
        <w:spacing w:before="0" w:after="80" w:line="276" w:lineRule="auto"/>
      </w:pPr>
      <w:r>
        <w:rPr>
          <w:rFonts w:ascii="Arial" w:hAnsi="Arial"/>
          <w:color w:val="1E293B"/>
          <w:sz w:val="20"/>
        </w:rPr>
        <w:t xml:space="preserve">     * *施用诡计（Tipu muslihat）*：通过精心设计、虚构事实的实体动作或操控行为营造假象。</w:t>
      </w:r>
    </w:p>
    <w:p>
      <w:pPr>
        <w:spacing w:before="0" w:after="80" w:line="276" w:lineRule="auto"/>
      </w:pPr>
      <w:r>
        <w:rPr>
          <w:rFonts w:ascii="Arial" w:hAnsi="Arial"/>
          <w:color w:val="1E293B"/>
          <w:sz w:val="20"/>
        </w:rPr>
        <w:t xml:space="preserve">     * *一系列谎言（Rangkaian kebohongan）*：前后连贯、相互印证的虚假言论体系，使被害人确信其虚假叙述。</w:t>
      </w:r>
    </w:p>
    <w:p>
      <w:pPr>
        <w:spacing w:before="0" w:after="80" w:line="276" w:lineRule="auto"/>
      </w:pPr>
      <w:r>
        <w:rPr>
          <w:rFonts w:ascii="Arial" w:hAnsi="Arial"/>
          <w:color w:val="1E293B"/>
          <w:sz w:val="20"/>
        </w:rPr>
        <w:t xml:space="preserve">   * **处分客体与危害结果：**</w:t>
      </w:r>
    </w:p>
    <w:p>
      <w:pPr>
        <w:spacing w:before="0" w:after="80" w:line="276" w:lineRule="auto"/>
      </w:pPr>
      <w:r>
        <w:rPr>
          <w:rFonts w:ascii="Arial" w:hAnsi="Arial"/>
          <w:color w:val="1E293B"/>
          <w:sz w:val="20"/>
        </w:rPr>
        <w:t xml:space="preserve">     * 交付财物（动产或不动产）。</w:t>
      </w:r>
    </w:p>
    <w:p>
      <w:pPr>
        <w:spacing w:before="0" w:after="80" w:line="276" w:lineRule="auto"/>
      </w:pPr>
      <w:r>
        <w:rPr>
          <w:rFonts w:ascii="Arial" w:hAnsi="Arial"/>
          <w:color w:val="1E293B"/>
          <w:sz w:val="20"/>
        </w:rPr>
        <w:t xml:space="preserve">     * 确立债务（订立使被害人承担不利义务的合同关系）。</w:t>
      </w:r>
    </w:p>
    <w:p>
      <w:pPr>
        <w:spacing w:before="0" w:after="80" w:line="276" w:lineRule="auto"/>
      </w:pPr>
      <w:r>
        <w:rPr>
          <w:rFonts w:ascii="Arial" w:hAnsi="Arial"/>
          <w:color w:val="1E293B"/>
          <w:sz w:val="20"/>
        </w:rPr>
        <w:t xml:space="preserve">     * 免除债权（免除行为人或第三方的清偿义务）。</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法理区分：刑事诈骗（*Bedrog*）与民事违约（*Wanprestasi*）</w:t>
      </w:r>
    </w:p>
    <w:p>
      <w:pPr>
        <w:spacing w:before="0" w:after="80" w:line="276" w:lineRule="auto"/>
      </w:pPr>
      <w:r>
        <w:rPr>
          <w:rFonts w:ascii="Arial" w:hAnsi="Arial"/>
          <w:color w:val="1E293B"/>
          <w:sz w:val="20"/>
        </w:rPr>
        <w:t>在涉及商业交易与合同纠纷时，适用第378条的核心争议在于区分刑事诈骗与印尼《民法典》第1243条规定的民事违约：</w:t>
      </w:r>
    </w:p>
    <w:p>
      <w:pPr>
        <w:spacing w:before="0" w:after="80" w:line="276" w:lineRule="auto"/>
      </w:pPr>
      <w:r>
        <w:rPr>
          <w:rFonts w:ascii="Arial" w:hAnsi="Arial"/>
          <w:color w:val="1E293B"/>
          <w:sz w:val="20"/>
        </w:rPr>
        <w:t>* **刑事诈骗（刑法第378条）：** 恶意犯意（*Mens rea*）及虚构事实的诈术**先于或发生于**合同缔结之时。合同仅为非法占有被害人财产的掩护工具（*Instrumentarium*），适用“欺诈使一切归于无效”（*Fraus omnia corrumpit*）原则。</w:t>
      </w:r>
    </w:p>
    <w:p>
      <w:pPr>
        <w:spacing w:before="0" w:after="80" w:line="276" w:lineRule="auto"/>
      </w:pPr>
      <w:r>
        <w:rPr>
          <w:rFonts w:ascii="Arial" w:hAnsi="Arial"/>
          <w:color w:val="1E293B"/>
          <w:sz w:val="20"/>
        </w:rPr>
        <w:t>* **民事违约（民法第1243条）：** 合同系基于双方最初的真实意思表示与善意原则合法订立，后续仅因履约能力丧失、疏忽大意、无预谋的主观违约或不可抗力导致未履行，不构成刑法上的预谋欺诈。</w:t>
      </w:r>
    </w:p>
    <w:p>
      <w:pPr>
        <w:spacing w:before="0" w:after="80" w:line="276" w:lineRule="auto"/>
      </w:pPr>
      <w:r>
        <w:rPr>
          <w:rFonts w:ascii="Arial" w:hAnsi="Arial"/>
          <w:color w:val="1E293B"/>
          <w:sz w:val="20"/>
        </w:rPr>
        <w:t>* **印尼最高法院判例要旨：**</w:t>
      </w:r>
    </w:p>
    <w:p>
      <w:pPr>
        <w:spacing w:before="0" w:after="80" w:line="276" w:lineRule="auto"/>
      </w:pPr>
      <w:r>
        <w:rPr>
          <w:rFonts w:ascii="Arial" w:hAnsi="Arial"/>
          <w:color w:val="1E293B"/>
          <w:sz w:val="20"/>
        </w:rPr>
        <w:t xml:space="preserve">  * 最高法院第1606 K/Pid/1987号及第445 K/Pid/2007号判决确立规则：凡源于合法民事协议且仅表现为债务未清偿者，本质属于纯粹民事纠纷；除非控方能够确凿证明在缔约交涉初期即已存在冒用假名或系统性谎言。</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程序性规则与合规实务指引</w:t>
      </w:r>
    </w:p>
    <w:p>
      <w:pPr>
        <w:spacing w:before="0" w:after="80" w:line="276" w:lineRule="auto"/>
      </w:pPr>
      <w:r>
        <w:rPr>
          <w:rFonts w:ascii="Arial" w:hAnsi="Arial"/>
          <w:color w:val="1E293B"/>
          <w:sz w:val="20"/>
        </w:rPr>
        <w:t>1. **法定举证责任（刑事诉讼法典第184条）：** 报案人必须提供至少两项合法有效证据（证人证言、书证/文件、符合《电子信息与交易法/UU ITE》的电子证据、推定证据或专家意见）。</w:t>
      </w:r>
    </w:p>
    <w:p>
      <w:pPr>
        <w:spacing w:before="0" w:after="80" w:line="276" w:lineRule="auto"/>
      </w:pPr>
      <w:r>
        <w:rPr>
          <w:rFonts w:ascii="Arial" w:hAnsi="Arial"/>
          <w:color w:val="1E293B"/>
          <w:sz w:val="20"/>
        </w:rPr>
        <w:t>2. **财产追索与损害赔偿：** 被害人可依法单独提起印尼《民法典》第1365条项下的侵权损害赔偿之诉，亦可依据《刑事诉讼法典》（KUHAP）第98条提起刑事附带民事赔偿程序以挽回损失。</w:t>
      </w:r>
    </w:p>
    <w:p>
      <w:pPr>
        <w:spacing w:before="0" w:after="80" w:line="276" w:lineRule="auto"/>
      </w:pPr>
      <w:r>
        <w:rPr>
          <w:rFonts w:ascii="Arial" w:hAnsi="Arial"/>
          <w:color w:val="1E293B"/>
          <w:sz w:val="20"/>
        </w:rPr>
        <w:t>3. **商业合同风险防范：**</w:t>
      </w:r>
    </w:p>
    <w:p>
      <w:pPr>
        <w:spacing w:before="0" w:after="80" w:line="276" w:lineRule="auto"/>
      </w:pPr>
      <w:r>
        <w:rPr>
          <w:rFonts w:ascii="Arial" w:hAnsi="Arial"/>
          <w:color w:val="1E293B"/>
          <w:sz w:val="20"/>
        </w:rPr>
        <w:t xml:space="preserve">   * 缔约前对相对人的主体资质、经营合规许可证及签约授权开展深度尽职调查（Due Diligence）。</w:t>
      </w:r>
    </w:p>
    <w:p>
      <w:pPr>
        <w:spacing w:before="0" w:after="80" w:line="276" w:lineRule="auto"/>
      </w:pPr>
      <w:r>
        <w:rPr>
          <w:rFonts w:ascii="Arial" w:hAnsi="Arial"/>
          <w:color w:val="1E293B"/>
          <w:sz w:val="20"/>
        </w:rPr>
        <w:t xml:space="preserve">   * 将所有的商业陈述与保证（Representations &amp; Warranties）明确固化于书面合同条款中，留存完整的谈判及履约追溯记录。</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