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 dan 372 KUHP Tindak Pidana Penipuan dan Penggelapan"</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Tindak pidana Penipuan (*oplichting*) dan Penggelapan (*verduistering*) merupakan delik terhadap harta benda (*vermogensdelicten*) yang diatur dalam Kitab Undang-Undang Hukum Pidana (KUHP Lama / WvS) serta telah diselaraskan dalam Undang-Undang Nomor 1 Tahun 2023 tentang Kitab Undang-Undang Hukum Pidana (KUHP Baru).</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 Ketentuan Normatif dan Perumusan Pasal</w:t>
      </w:r>
    </w:p>
    <w:p>
      <w:pPr>
        <w:spacing w:before="0" w:after="80"/>
      </w:pPr>
    </w:p>
    <w:p>
      <w:pPr>
        <w:spacing w:before="160" w:after="80" w:line="276" w:lineRule="auto"/>
      </w:pPr>
      <w:r>
        <w:rPr>
          <w:rFonts w:ascii="Arial" w:hAnsi="Arial"/>
          <w:b/>
          <w:color w:val="0F172A"/>
          <w:sz w:val="21"/>
        </w:rPr>
        <w:t>##### 1. Tindak Pidana Penipuan</w:t>
      </w:r>
    </w:p>
    <w:p>
      <w:pPr>
        <w:spacing w:before="0" w:after="80" w:line="276" w:lineRule="auto"/>
      </w:pPr>
      <w:r>
        <w:rPr>
          <w:rFonts w:ascii="Arial" w:hAnsi="Arial"/>
          <w:color w:val="1E293B"/>
          <w:sz w:val="20"/>
        </w:rPr>
        <w:t>* **Pasal 378 KUHP (KUHP Lama):**</w:t>
      </w:r>
    </w:p>
    <w:p>
      <w:pPr>
        <w:spacing w:before="0" w:after="80" w:line="276" w:lineRule="auto"/>
      </w:pPr>
      <w:r>
        <w:rPr>
          <w:rFonts w:ascii="Arial" w:hAnsi="Arial"/>
          <w:color w:val="1E293B"/>
          <w:sz w:val="20"/>
        </w:rPr>
        <w:t xml:space="preserve">  &gt; *"Barang siapa dengan maksud untuk menguntungkan diri sendiri atau orang lain secara melawan hukum, dengan memakai nama palsu atau martabat palsu, dengan tipu muslihat, ataupun rangkaian kebohongan, menggerakkan orang lain untuk menyerahkan barang sesuatu kepadanya, atau supaya memberi utang maupun menghapuskan piutang, diancam karena penipuan dengan pidana penjara paling lama empat tahun."*</w:t>
      </w:r>
    </w:p>
    <w:p>
      <w:pPr>
        <w:spacing w:before="0" w:after="80" w:line="276" w:lineRule="auto"/>
      </w:pPr>
      <w:r>
        <w:rPr>
          <w:rFonts w:ascii="Arial" w:hAnsi="Arial"/>
          <w:color w:val="1E293B"/>
          <w:sz w:val="20"/>
        </w:rPr>
        <w:t>* **Padanan dalam KUHP Baru (UU No. 1/2023):** Pasal 492, dengan ancaman pidana penjara paling lama 4 (empat) tahun atau pidana denda paling banyak Kategori V (Rp500.000.000,00).</w:t>
      </w:r>
    </w:p>
    <w:p>
      <w:pPr>
        <w:spacing w:before="0" w:after="80"/>
      </w:pPr>
    </w:p>
    <w:p>
      <w:pPr>
        <w:spacing w:before="160" w:after="80" w:line="276" w:lineRule="auto"/>
      </w:pPr>
      <w:r>
        <w:rPr>
          <w:rFonts w:ascii="Arial" w:hAnsi="Arial"/>
          <w:b/>
          <w:color w:val="0F172A"/>
          <w:sz w:val="21"/>
        </w:rPr>
        <w:t>##### 2. Tindak Pidana Penggelapan</w:t>
      </w:r>
    </w:p>
    <w:p>
      <w:pPr>
        <w:spacing w:before="0" w:after="80" w:line="276" w:lineRule="auto"/>
      </w:pPr>
      <w:r>
        <w:rPr>
          <w:rFonts w:ascii="Arial" w:hAnsi="Arial"/>
          <w:color w:val="1E293B"/>
          <w:sz w:val="20"/>
        </w:rPr>
        <w:t>* **Pasal 372 KUHP (KUHP Lama):**</w:t>
      </w:r>
    </w:p>
    <w:p>
      <w:pPr>
        <w:spacing w:before="0" w:after="80" w:line="276" w:lineRule="auto"/>
      </w:pPr>
      <w:r>
        <w:rPr>
          <w:rFonts w:ascii="Arial" w:hAnsi="Arial"/>
          <w:color w:val="1E293B"/>
          <w:sz w:val="20"/>
        </w:rPr>
        <w:t xml:space="preserve">  &gt; *"Barang siapa dengan sengaja dan melawan hukum memiliki barang sesuatu yang seluruhnya atau sebagian adalah kepunyaan orang lain, tetapi yang ada dalam kekuasaannya bukan karena kejahatan, diancam karena penggelapan, dengan pidana penjara paling lama empat tahun atau pidana denda paling banyak sembilan ratus rupiah."* *(Catatan: Nilai denda disesuaikan kelipatan 1.000 berdasarkan Peraturan Mahkamah Agung No. 2 Tahun 2012).*</w:t>
      </w:r>
    </w:p>
    <w:p>
      <w:pPr>
        <w:spacing w:before="0" w:after="80" w:line="276" w:lineRule="auto"/>
      </w:pPr>
      <w:r>
        <w:rPr>
          <w:rFonts w:ascii="Arial" w:hAnsi="Arial"/>
          <w:color w:val="1E293B"/>
          <w:sz w:val="20"/>
        </w:rPr>
        <w:t>* **Padanan dalam KUHP Baru (UU No. 1/2023):** Pasal 486, dengan ancaman pidana penjara paling lama 4 (empat) tahun atau pidana denda paling banyak Kategori IV (Rp200.000.000,00).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Unsur-Unsur Yuridis (Tatbestand)</w:t>
      </w:r>
    </w:p>
    <w:p>
      <w:pPr>
        <w:spacing w:before="0" w:after="80"/>
      </w:pPr>
    </w:p>
    <w:p>
      <w:pPr>
        <w:spacing w:before="160" w:after="80" w:line="276" w:lineRule="auto"/>
      </w:pPr>
      <w:r>
        <w:rPr>
          <w:rFonts w:ascii="Arial" w:hAnsi="Arial"/>
          <w:b/>
          <w:color w:val="0F172A"/>
          <w:sz w:val="21"/>
        </w:rPr>
        <w:t>##### 1. Unsur-Unsur Penipuan (Pasal 378 KUHP)</w:t>
      </w:r>
    </w:p>
    <w:p>
      <w:pPr>
        <w:spacing w:before="0" w:after="80" w:line="276" w:lineRule="auto"/>
      </w:pPr>
      <w:r>
        <w:rPr>
          <w:rFonts w:ascii="Arial" w:hAnsi="Arial"/>
          <w:color w:val="1E293B"/>
          <w:sz w:val="20"/>
        </w:rPr>
        <w:t>* **Unsur Subjektif:**</w:t>
      </w:r>
    </w:p>
    <w:p>
      <w:pPr>
        <w:spacing w:before="0" w:after="80" w:line="276" w:lineRule="auto"/>
      </w:pPr>
      <w:r>
        <w:rPr>
          <w:rFonts w:ascii="Arial" w:hAnsi="Arial"/>
          <w:color w:val="1E293B"/>
          <w:sz w:val="20"/>
        </w:rPr>
        <w:t xml:space="preserve">  1. *Dengan maksud* (*oogmerk/dolus*);</w:t>
      </w:r>
    </w:p>
    <w:p>
      <w:pPr>
        <w:spacing w:before="0" w:after="80" w:line="276" w:lineRule="auto"/>
      </w:pPr>
      <w:r>
        <w:rPr>
          <w:rFonts w:ascii="Arial" w:hAnsi="Arial"/>
          <w:color w:val="1E293B"/>
          <w:sz w:val="20"/>
        </w:rPr>
        <w:t xml:space="preserve">  2. Untuk menguntungkan diri sendiri atau orang lain;</w:t>
      </w:r>
    </w:p>
    <w:p>
      <w:pPr>
        <w:spacing w:before="0" w:after="80" w:line="276" w:lineRule="auto"/>
      </w:pPr>
      <w:r>
        <w:rPr>
          <w:rFonts w:ascii="Arial" w:hAnsi="Arial"/>
          <w:color w:val="1E293B"/>
          <w:sz w:val="20"/>
        </w:rPr>
        <w:t xml:space="preserve">  3. Dilakukan secara melawan hukum (*wederrechtelijk*).</w:t>
      </w:r>
    </w:p>
    <w:p>
      <w:pPr>
        <w:spacing w:before="0" w:after="80" w:line="276" w:lineRule="auto"/>
      </w:pPr>
      <w:r>
        <w:rPr>
          <w:rFonts w:ascii="Arial" w:hAnsi="Arial"/>
          <w:color w:val="1E293B"/>
          <w:sz w:val="20"/>
        </w:rPr>
        <w:t>* **Unsur Objektif:**</w:t>
      </w:r>
    </w:p>
    <w:p>
      <w:pPr>
        <w:spacing w:before="0" w:after="80" w:line="276" w:lineRule="auto"/>
      </w:pPr>
      <w:r>
        <w:rPr>
          <w:rFonts w:ascii="Arial" w:hAnsi="Arial"/>
          <w:color w:val="1E293B"/>
          <w:sz w:val="20"/>
        </w:rPr>
        <w:t xml:space="preserve">  1. *Barang siapa* (subjek hukum perorangan);</w:t>
      </w:r>
    </w:p>
    <w:p>
      <w:pPr>
        <w:spacing w:before="0" w:after="80" w:line="276" w:lineRule="auto"/>
      </w:pPr>
      <w:r>
        <w:rPr>
          <w:rFonts w:ascii="Arial" w:hAnsi="Arial"/>
          <w:color w:val="1E293B"/>
          <w:sz w:val="20"/>
        </w:rPr>
        <w:t xml:space="preserve">  2. *Menggerakkan orang lain* (*bewegen*) untuk:</w:t>
      </w:r>
    </w:p>
    <w:p>
      <w:pPr>
        <w:spacing w:before="0" w:after="80" w:line="276" w:lineRule="auto"/>
      </w:pPr>
      <w:r>
        <w:rPr>
          <w:rFonts w:ascii="Arial" w:hAnsi="Arial"/>
          <w:color w:val="1E293B"/>
          <w:sz w:val="20"/>
        </w:rPr>
        <w:t xml:space="preserve">     * Menyerahkan suatu barang;</w:t>
      </w:r>
    </w:p>
    <w:p>
      <w:pPr>
        <w:spacing w:before="0" w:after="80" w:line="276" w:lineRule="auto"/>
      </w:pPr>
      <w:r>
        <w:rPr>
          <w:rFonts w:ascii="Arial" w:hAnsi="Arial"/>
          <w:color w:val="1E293B"/>
          <w:sz w:val="20"/>
        </w:rPr>
        <w:t xml:space="preserve">     * Memberi utang / membuat perikatan utang;</w:t>
      </w:r>
    </w:p>
    <w:p>
      <w:pPr>
        <w:spacing w:before="0" w:after="80" w:line="276" w:lineRule="auto"/>
      </w:pPr>
      <w:r>
        <w:rPr>
          <w:rFonts w:ascii="Arial" w:hAnsi="Arial"/>
          <w:color w:val="1E293B"/>
          <w:sz w:val="20"/>
        </w:rPr>
        <w:t xml:space="preserve">     * Menghapuskan piutang.</w:t>
      </w:r>
    </w:p>
    <w:p>
      <w:pPr>
        <w:spacing w:before="0" w:after="80" w:line="276" w:lineRule="auto"/>
      </w:pPr>
      <w:r>
        <w:rPr>
          <w:rFonts w:ascii="Arial" w:hAnsi="Arial"/>
          <w:color w:val="1E293B"/>
          <w:sz w:val="20"/>
        </w:rPr>
        <w:t xml:space="preserve">  3. *Dengan menggunakan alat penggerak (upaya curang)*:</w:t>
      </w:r>
    </w:p>
    <w:p>
      <w:pPr>
        <w:spacing w:before="0" w:after="80" w:line="276" w:lineRule="auto"/>
      </w:pPr>
      <w:r>
        <w:rPr>
          <w:rFonts w:ascii="Arial" w:hAnsi="Arial"/>
          <w:color w:val="1E293B"/>
          <w:sz w:val="20"/>
        </w:rPr>
        <w:t xml:space="preserve">     * Nama palsu (*valsche naam*);</w:t>
      </w:r>
    </w:p>
    <w:p>
      <w:pPr>
        <w:spacing w:before="0" w:after="80" w:line="276" w:lineRule="auto"/>
      </w:pPr>
      <w:r>
        <w:rPr>
          <w:rFonts w:ascii="Arial" w:hAnsi="Arial"/>
          <w:color w:val="1E293B"/>
          <w:sz w:val="20"/>
        </w:rPr>
        <w:t xml:space="preserve">     * Martabat/keadaan palsu (*valsche hoedanigheid*);</w:t>
      </w:r>
    </w:p>
    <w:p>
      <w:pPr>
        <w:spacing w:before="0" w:after="80" w:line="276" w:lineRule="auto"/>
      </w:pPr>
      <w:r>
        <w:rPr>
          <w:rFonts w:ascii="Arial" w:hAnsi="Arial"/>
          <w:color w:val="1E293B"/>
          <w:sz w:val="20"/>
        </w:rPr>
        <w:t xml:space="preserve">     * Tipu muslihat (*listige kunstgrepen*); atau</w:t>
      </w:r>
    </w:p>
    <w:p>
      <w:pPr>
        <w:spacing w:before="0" w:after="80" w:line="276" w:lineRule="auto"/>
      </w:pPr>
      <w:r>
        <w:rPr>
          <w:rFonts w:ascii="Arial" w:hAnsi="Arial"/>
          <w:color w:val="1E293B"/>
          <w:sz w:val="20"/>
        </w:rPr>
        <w:t xml:space="preserve">     * Rangkaian kebohongan (*samenweefsel van verdichtsels*).</w:t>
      </w:r>
    </w:p>
    <w:p>
      <w:pPr>
        <w:spacing w:before="0" w:after="80"/>
      </w:pPr>
    </w:p>
    <w:p>
      <w:pPr>
        <w:spacing w:before="160" w:after="80" w:line="276" w:lineRule="auto"/>
      </w:pPr>
      <w:r>
        <w:rPr>
          <w:rFonts w:ascii="Arial" w:hAnsi="Arial"/>
          <w:b/>
          <w:color w:val="0F172A"/>
          <w:sz w:val="21"/>
        </w:rPr>
        <w:t>##### 2. Unsur-Unsur Penggelapan (Pasal 372 KUHP)</w:t>
      </w:r>
    </w:p>
    <w:p>
      <w:pPr>
        <w:spacing w:before="0" w:after="80" w:line="276" w:lineRule="auto"/>
      </w:pPr>
      <w:r>
        <w:rPr>
          <w:rFonts w:ascii="Arial" w:hAnsi="Arial"/>
          <w:color w:val="1E293B"/>
          <w:sz w:val="20"/>
        </w:rPr>
        <w:t>* **Unsur Subjektif:**</w:t>
      </w:r>
    </w:p>
    <w:p>
      <w:pPr>
        <w:spacing w:before="0" w:after="80" w:line="276" w:lineRule="auto"/>
      </w:pPr>
      <w:r>
        <w:rPr>
          <w:rFonts w:ascii="Arial" w:hAnsi="Arial"/>
          <w:color w:val="1E293B"/>
          <w:sz w:val="20"/>
        </w:rPr>
        <w:t xml:space="preserve">  1. Dilakukan *dengan sengaja* (*opzet*);</w:t>
      </w:r>
    </w:p>
    <w:p>
      <w:pPr>
        <w:spacing w:before="0" w:after="80" w:line="276" w:lineRule="auto"/>
      </w:pPr>
      <w:r>
        <w:rPr>
          <w:rFonts w:ascii="Arial" w:hAnsi="Arial"/>
          <w:color w:val="1E293B"/>
          <w:sz w:val="20"/>
        </w:rPr>
        <w:t xml:space="preserve">  2. Mengetahui bahwa tindakannya bersifat *melawan hukum* (bertujuan memiliki barang layaknya pemilik sah / *zich toe-eigenen*).</w:t>
      </w:r>
    </w:p>
    <w:p>
      <w:pPr>
        <w:spacing w:before="0" w:after="80" w:line="276" w:lineRule="auto"/>
      </w:pPr>
      <w:r>
        <w:rPr>
          <w:rFonts w:ascii="Arial" w:hAnsi="Arial"/>
          <w:color w:val="1E293B"/>
          <w:sz w:val="20"/>
        </w:rPr>
        <w:t>* **Unsur Objektif:**</w:t>
      </w:r>
    </w:p>
    <w:p>
      <w:pPr>
        <w:spacing w:before="0" w:after="80" w:line="276" w:lineRule="auto"/>
      </w:pPr>
      <w:r>
        <w:rPr>
          <w:rFonts w:ascii="Arial" w:hAnsi="Arial"/>
          <w:color w:val="1E293B"/>
          <w:sz w:val="20"/>
        </w:rPr>
        <w:t xml:space="preserve">  1. *Barang siapa*;</w:t>
      </w:r>
    </w:p>
    <w:p>
      <w:pPr>
        <w:spacing w:before="0" w:after="80" w:line="276" w:lineRule="auto"/>
      </w:pPr>
      <w:r>
        <w:rPr>
          <w:rFonts w:ascii="Arial" w:hAnsi="Arial"/>
          <w:color w:val="1E293B"/>
          <w:sz w:val="20"/>
        </w:rPr>
        <w:t xml:space="preserve">  2. *Mengaku sebagai milik sendiri / memiliki* (*zich toe-eigenen*) suatu barang;</w:t>
      </w:r>
    </w:p>
    <w:p>
      <w:pPr>
        <w:spacing w:before="0" w:after="80" w:line="276" w:lineRule="auto"/>
      </w:pPr>
      <w:r>
        <w:rPr>
          <w:rFonts w:ascii="Arial" w:hAnsi="Arial"/>
          <w:color w:val="1E293B"/>
          <w:sz w:val="20"/>
        </w:rPr>
        <w:t xml:space="preserve">  3. Barang tersebut seluruhnya atau sebagian adalah *kepunyaan orang lain*;</w:t>
      </w:r>
    </w:p>
    <w:p>
      <w:pPr>
        <w:spacing w:before="0" w:after="80" w:line="276" w:lineRule="auto"/>
      </w:pPr>
      <w:r>
        <w:rPr>
          <w:rFonts w:ascii="Arial" w:hAnsi="Arial"/>
          <w:color w:val="1E293B"/>
          <w:sz w:val="20"/>
        </w:rPr>
        <w:t xml:space="preserve">  4. Penguasaan atas barang tersebut *sudah ada pada pelaku bukan karena kejahatan* (misalnya: penitipan, sewa-menyewa, hubungan kerja, atau pemegang kuasa yang sah).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Pembeda Doktriner dan Praktik Peradilan (Nexus Penipuan vs. Penggelapan)</w:t>
      </w:r>
    </w:p>
    <w:p>
      <w:pPr>
        <w:spacing w:before="0" w:after="80"/>
      </w:pPr>
    </w:p>
    <w:p>
      <w:pPr>
        <w:spacing w:before="0" w:after="80" w:line="276" w:lineRule="auto"/>
      </w:pPr>
      <w:r>
        <w:rPr>
          <w:rFonts w:ascii="Arial" w:hAnsi="Arial"/>
          <w:color w:val="1E293B"/>
          <w:sz w:val="20"/>
        </w:rPr>
        <w:t>| Parameter | Tindak Pidana Penipuan (Pasal 378) | Tindak Pidana Penggelapan (Pasal 372)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**Peralihan Penguasaan Barang** | Penyerahan barang terjadi **akibat** adanya upaya tipu muslihat, nama palsu, atau rangkaian kebohongan dari pelaku. | Barang sudah berada dalam penguasaan pelaku **secara sah** sebelum timbul niat jahat (*mens rea*). |</w:t>
      </w:r>
    </w:p>
    <w:p>
      <w:pPr>
        <w:spacing w:before="0" w:after="80" w:line="276" w:lineRule="auto"/>
      </w:pPr>
      <w:r>
        <w:rPr>
          <w:rFonts w:ascii="Arial" w:hAnsi="Arial"/>
          <w:color w:val="1E293B"/>
          <w:sz w:val="20"/>
        </w:rPr>
        <w:t>| **Titik Mula Niat Jahat (*Mens Rea*)** | Niat jahat sudah ada **sejak sebelum atau pada saat** terjadinya transaksi/interaksi. | Niat jahat timbul **setelah** barang berada dalam kekuasaan pelaku secara sah. |</w:t>
      </w:r>
    </w:p>
    <w:p>
      <w:pPr>
        <w:spacing w:before="0" w:after="80" w:line="276" w:lineRule="auto"/>
      </w:pPr>
      <w:r>
        <w:rPr>
          <w:rFonts w:ascii="Arial" w:hAnsi="Arial"/>
          <w:color w:val="1E293B"/>
          <w:sz w:val="20"/>
        </w:rPr>
        <w:t>| **Kausa Penyerahan Awal** | Cacat kehendak korban akibat manipulasi faktual. | Kehendak bebas yang sah (misal: perjanjian sewa, titipan, hubungan ketenagakerjaan).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Demarkasi Perdata vs. Pidana (Wanprestasi vs. Penipuan/Penggelapan)</w:t>
      </w:r>
    </w:p>
    <w:p>
      <w:pPr>
        <w:spacing w:before="0" w:after="80"/>
      </w:pPr>
    </w:p>
    <w:p>
      <w:pPr>
        <w:spacing w:before="0" w:after="80" w:line="276" w:lineRule="auto"/>
      </w:pPr>
      <w:r>
        <w:rPr>
          <w:rFonts w:ascii="Arial" w:hAnsi="Arial"/>
          <w:color w:val="1E293B"/>
          <w:sz w:val="20"/>
        </w:rPr>
        <w:t>Guna menghindari kriminalisasi hubungan perdata (*civil dispute*), Mahkamah Agung Republik Indonesia melalui Yurisprudensi Tetap (antara lain Putusan MA No. 1606 K/Pid/1982 dan Putusan MA No. 449 K/Pid/2001) menetapkan parameter pembatas:</w:t>
      </w:r>
    </w:p>
    <w:p>
      <w:pPr>
        <w:spacing w:before="0" w:after="80" w:line="276" w:lineRule="auto"/>
      </w:pPr>
      <w:r>
        <w:rPr>
          <w:rFonts w:ascii="Arial" w:hAnsi="Arial"/>
          <w:color w:val="1E293B"/>
          <w:sz w:val="20"/>
        </w:rPr>
        <w:t>1. **Wanprestasi Murni:** Apabila para pihak telah saling mengenal ikatan perdata (Pasal 1320 &amp; 1338 KUHPerdata), dan kegagalan pemenuhan prestasi disebabkan oleh *overmacht* (keadaan memaksa) atau ketidakmampuan finansial yang timbul kemudian, tanpa adanya tipu muslihat atau kehendak jahat di awal perjanjian.</w:t>
      </w:r>
    </w:p>
    <w:p>
      <w:pPr>
        <w:spacing w:before="0" w:after="80" w:line="276" w:lineRule="auto"/>
      </w:pPr>
      <w:r>
        <w:rPr>
          <w:rFonts w:ascii="Arial" w:hAnsi="Arial"/>
          <w:color w:val="1E293B"/>
          <w:sz w:val="20"/>
        </w:rPr>
        <w:t>2. **Penipuan Masuk Ranah Pidana:** Apabila sejak awal penandatanganan kontrak/kesepakatan, salah satu pihak telah menggunakan data fiktif, identitas palsu, atau perikatan tersebut hanya dijadikan kedok untuk mengalihkan aset korban tanpa pernah berniat memenuhi kewajiban prestasi.</w:t>
      </w:r>
    </w:p>
    <w:p>
      <w:pPr>
        <w:spacing w:before="0" w:after="80" w:line="276" w:lineRule="auto"/>
      </w:pPr>
      <w:r>
        <w:rPr>
          <w:rFonts w:ascii="Arial" w:hAnsi="Arial"/>
          <w:color w:val="1E293B"/>
          <w:sz w:val="20"/>
        </w:rPr>
        <w:t>3. **Penggelapan Masuk Ranah Pidana:** Apabila barang/dana yang dikuasai untuk tujuan tertentu (misal: modal kerja, barang konsinyasi) dialihkan, dijual, atau digunakan untuk kepentingan pribadi tanpa hak dan tanpa izin pemilik sah.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Panduan Kepatuhan dan Mitigasi Risiko</w:t>
      </w:r>
    </w:p>
    <w:p>
      <w:pPr>
        <w:spacing w:before="0" w:after="80"/>
      </w:pPr>
    </w:p>
    <w:p>
      <w:pPr>
        <w:spacing w:before="0" w:after="80" w:line="276" w:lineRule="auto"/>
      </w:pPr>
      <w:r>
        <w:rPr>
          <w:rFonts w:ascii="Arial" w:hAnsi="Arial"/>
          <w:color w:val="1E293B"/>
          <w:sz w:val="20"/>
        </w:rPr>
        <w:t>1. **Uji Tuntas Para Pihak (*Know Your Counterparty*):** Lakukan verifikasi legalitas subjek hukum, keabsahan kapasitas (*hoedanigheid*), dan keabsahan kuasa sebelum menandatangani perjanjian pengalihan aset atau penempatan dana.</w:t>
      </w:r>
    </w:p>
    <w:p>
      <w:pPr>
        <w:spacing w:before="0" w:after="80" w:line="276" w:lineRule="auto"/>
      </w:pPr>
      <w:r>
        <w:rPr>
          <w:rFonts w:ascii="Arial" w:hAnsi="Arial"/>
          <w:color w:val="1E293B"/>
          <w:sz w:val="20"/>
        </w:rPr>
        <w:t>2. **Klausul Perjanjian yang Tegas:** Cantumkan secara tegas batasan hak penguasaan barang (*bezit*), klausul larangan pemindahtanganan aset tanpa persetujuan tertulis (*negative covenant*), serta jangka waktu pengembalian.</w:t>
      </w:r>
    </w:p>
    <w:p>
      <w:pPr>
        <w:spacing w:before="0" w:after="80" w:line="276" w:lineRule="auto"/>
      </w:pPr>
      <w:r>
        <w:rPr>
          <w:rFonts w:ascii="Arial" w:hAnsi="Arial"/>
          <w:color w:val="1E293B"/>
          <w:sz w:val="20"/>
        </w:rPr>
        <w:t>3. **Dokumentasi Bukti Hubungan Hukum:** Simpan seluruh korespondensi pra-kontrak. Apabila terjadi kegagalan pembayaran, layangkan Surat Peringatan (Somasi) minimal 2 (dua) kali untuk menguji iktikad baik pihak lawan sebelum menempuh upaya hukum pidana maupun perdata.</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color w:val="1E293B"/>
          <w:sz w:val="20"/>
        </w:rPr>
        <w:t>诈骗罪（*Penipuan / Oplichting*）与侵占罪（*Penggelapan / Verduistering*）是印度尼西亚刑法体系中侵害财产法益（*Vermogensdelicten*）的核心罪名。相关规定见于现行《印尼刑法典》（KUHP Lama / WvS），并已系统整合于《2023年第1号印尼新刑法典》（UU No. 1/2023）中。</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一、 规范性法律依据与法定条文</w:t>
      </w:r>
    </w:p>
    <w:p>
      <w:pPr>
        <w:spacing w:before="0" w:after="80"/>
      </w:pPr>
    </w:p>
    <w:p>
      <w:pPr>
        <w:spacing w:before="160" w:after="80" w:line="276" w:lineRule="auto"/>
      </w:pPr>
      <w:r>
        <w:rPr>
          <w:rFonts w:ascii="Arial" w:hAnsi="Arial"/>
          <w:b/>
          <w:color w:val="0F172A"/>
          <w:sz w:val="21"/>
        </w:rPr>
        <w:t>##### 1. 诈骗罪 (Tindak Pidana Penipuan)</w:t>
      </w:r>
    </w:p>
    <w:p>
      <w:pPr>
        <w:spacing w:before="0" w:after="80" w:line="276" w:lineRule="auto"/>
      </w:pPr>
      <w:r>
        <w:rPr>
          <w:rFonts w:ascii="Arial" w:hAnsi="Arial"/>
          <w:color w:val="1E293B"/>
          <w:sz w:val="20"/>
        </w:rPr>
        <w:t>* **《印尼刑法典》第378条（旧刑法）：**</w:t>
      </w:r>
    </w:p>
    <w:p>
      <w:pPr>
        <w:spacing w:before="0" w:after="80" w:line="276" w:lineRule="auto"/>
      </w:pPr>
      <w:r>
        <w:rPr>
          <w:rFonts w:ascii="Arial" w:hAnsi="Arial"/>
          <w:color w:val="1E293B"/>
          <w:sz w:val="20"/>
        </w:rPr>
        <w:t xml:space="preserve">  &gt; *“以非法占有为目的，为自己或他人谋取不法利益，使用假名、虚假身份、诡计或一系列虚假谎言，诱使他人交付任何财物、设定债务或免除债务者，构成诈骗罪，处最高四年有期徒刑。”*</w:t>
      </w:r>
    </w:p>
    <w:p>
      <w:pPr>
        <w:spacing w:before="0" w:after="80" w:line="276" w:lineRule="auto"/>
      </w:pPr>
      <w:r>
        <w:rPr>
          <w:rFonts w:ascii="Arial" w:hAnsi="Arial"/>
          <w:color w:val="1E293B"/>
          <w:sz w:val="20"/>
        </w:rPr>
        <w:t>* **新刑法对应条款（2023年第1号法律）：** 第492条，最高可处四年有期徒刑，或并处最高第五级罚金（500,000,000印尼盾）。</w:t>
      </w:r>
    </w:p>
    <w:p>
      <w:pPr>
        <w:spacing w:before="0" w:after="80"/>
      </w:pPr>
    </w:p>
    <w:p>
      <w:pPr>
        <w:spacing w:before="160" w:after="80" w:line="276" w:lineRule="auto"/>
      </w:pPr>
      <w:r>
        <w:rPr>
          <w:rFonts w:ascii="Arial" w:hAnsi="Arial"/>
          <w:b/>
          <w:color w:val="0F172A"/>
          <w:sz w:val="21"/>
        </w:rPr>
        <w:t>##### 2. 侵占罪 (Tindak Pidana Penggelapan)</w:t>
      </w:r>
    </w:p>
    <w:p>
      <w:pPr>
        <w:spacing w:before="0" w:after="80" w:line="276" w:lineRule="auto"/>
      </w:pPr>
      <w:r>
        <w:rPr>
          <w:rFonts w:ascii="Arial" w:hAnsi="Arial"/>
          <w:color w:val="1E293B"/>
          <w:sz w:val="20"/>
        </w:rPr>
        <w:t>* **《印尼刑法典》第372条（旧刑法）：**</w:t>
      </w:r>
    </w:p>
    <w:p>
      <w:pPr>
        <w:spacing w:before="0" w:after="80" w:line="276" w:lineRule="auto"/>
      </w:pPr>
      <w:r>
        <w:rPr>
          <w:rFonts w:ascii="Arial" w:hAnsi="Arial"/>
          <w:color w:val="1E293B"/>
          <w:sz w:val="20"/>
        </w:rPr>
        <w:t xml:space="preserve">  &gt; *“明知并故意非法占有完全或部分属于他人所有、但已在其合法控制下而非因犯罪所得之财物者，构成侵占罪，处最高四年有期徒刑或最高九百印尼盾罚金。”* *（注：根据印尼最高法院2012年第2号条例，罚金数额依法调整为原法定数额的1000倍计算）。*</w:t>
      </w:r>
    </w:p>
    <w:p>
      <w:pPr>
        <w:spacing w:before="0" w:after="80" w:line="276" w:lineRule="auto"/>
      </w:pPr>
      <w:r>
        <w:rPr>
          <w:rFonts w:ascii="Arial" w:hAnsi="Arial"/>
          <w:color w:val="1E293B"/>
          <w:sz w:val="20"/>
        </w:rPr>
        <w:t>* **新刑法对应条款（2023年第1号法律）：** 第486条，最高可处四年有期徒刑，或并处最高第四级罚金（200,000,000印尼盾）。</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二、 法定犯罪构成要件 (Constitutive Elements)</w:t>
      </w:r>
    </w:p>
    <w:p>
      <w:pPr>
        <w:spacing w:before="0" w:after="80"/>
      </w:pPr>
    </w:p>
    <w:p>
      <w:pPr>
        <w:spacing w:before="160" w:after="80" w:line="276" w:lineRule="auto"/>
      </w:pPr>
      <w:r>
        <w:rPr>
          <w:rFonts w:ascii="Arial" w:hAnsi="Arial"/>
          <w:b/>
          <w:color w:val="0F172A"/>
          <w:sz w:val="21"/>
        </w:rPr>
        <w:t>##### 1. 诈骗罪的构成要件（第378条）</w:t>
      </w:r>
    </w:p>
    <w:p>
      <w:pPr>
        <w:spacing w:before="0" w:after="80" w:line="276" w:lineRule="auto"/>
      </w:pPr>
      <w:r>
        <w:rPr>
          <w:rFonts w:ascii="Arial" w:hAnsi="Arial"/>
          <w:color w:val="1E293B"/>
          <w:sz w:val="20"/>
        </w:rPr>
        <w:t>* **主观要件：**</w:t>
      </w:r>
    </w:p>
    <w:p>
      <w:pPr>
        <w:spacing w:before="0" w:after="80" w:line="276" w:lineRule="auto"/>
      </w:pPr>
      <w:r>
        <w:rPr>
          <w:rFonts w:ascii="Arial" w:hAnsi="Arial"/>
          <w:color w:val="1E293B"/>
          <w:sz w:val="20"/>
        </w:rPr>
        <w:t xml:space="preserve">  1. *故意*及谋取利益之目的（*Oogmerk / Dolus*）；</w:t>
      </w:r>
    </w:p>
    <w:p>
      <w:pPr>
        <w:spacing w:before="0" w:after="80" w:line="276" w:lineRule="auto"/>
      </w:pPr>
      <w:r>
        <w:rPr>
          <w:rFonts w:ascii="Arial" w:hAnsi="Arial"/>
          <w:color w:val="1E293B"/>
          <w:sz w:val="20"/>
        </w:rPr>
        <w:t xml:space="preserve">  2. 为自己或第三人谋取利益；</w:t>
      </w:r>
    </w:p>
    <w:p>
      <w:pPr>
        <w:spacing w:before="0" w:after="80" w:line="276" w:lineRule="auto"/>
      </w:pPr>
      <w:r>
        <w:rPr>
          <w:rFonts w:ascii="Arial" w:hAnsi="Arial"/>
          <w:color w:val="1E293B"/>
          <w:sz w:val="20"/>
        </w:rPr>
        <w:t xml:space="preserve">  3. 具有*非法占有目的/违法性*（*Wederrechtelijk*）。</w:t>
      </w:r>
    </w:p>
    <w:p>
      <w:pPr>
        <w:spacing w:before="0" w:after="80" w:line="276" w:lineRule="auto"/>
      </w:pPr>
      <w:r>
        <w:rPr>
          <w:rFonts w:ascii="Arial" w:hAnsi="Arial"/>
          <w:color w:val="1E293B"/>
          <w:sz w:val="20"/>
        </w:rPr>
        <w:t>* **客观要件：**</w:t>
      </w:r>
    </w:p>
    <w:p>
      <w:pPr>
        <w:spacing w:before="0" w:after="80" w:line="276" w:lineRule="auto"/>
      </w:pPr>
      <w:r>
        <w:rPr>
          <w:rFonts w:ascii="Arial" w:hAnsi="Arial"/>
          <w:color w:val="1E293B"/>
          <w:sz w:val="20"/>
        </w:rPr>
        <w:t xml:space="preserve">  1. *自然人主体*（行为人）；</w:t>
      </w:r>
    </w:p>
    <w:p>
      <w:pPr>
        <w:spacing w:before="0" w:after="80" w:line="276" w:lineRule="auto"/>
      </w:pPr>
      <w:r>
        <w:rPr>
          <w:rFonts w:ascii="Arial" w:hAnsi="Arial"/>
          <w:color w:val="1E293B"/>
          <w:sz w:val="20"/>
        </w:rPr>
        <w:t xml:space="preserve">  2. *诱使/促使他人*（*Bewegen*）作出下列处分行为：</w:t>
      </w:r>
    </w:p>
    <w:p>
      <w:pPr>
        <w:spacing w:before="0" w:after="80" w:line="276" w:lineRule="auto"/>
      </w:pPr>
      <w:r>
        <w:rPr>
          <w:rFonts w:ascii="Arial" w:hAnsi="Arial"/>
          <w:color w:val="1E293B"/>
          <w:sz w:val="20"/>
        </w:rPr>
        <w:t xml:space="preserve">     * 交付财物；</w:t>
      </w:r>
    </w:p>
    <w:p>
      <w:pPr>
        <w:spacing w:before="0" w:after="80" w:line="276" w:lineRule="auto"/>
      </w:pPr>
      <w:r>
        <w:rPr>
          <w:rFonts w:ascii="Arial" w:hAnsi="Arial"/>
          <w:color w:val="1E293B"/>
          <w:sz w:val="20"/>
        </w:rPr>
        <w:t xml:space="preserve">     * 成立债务/签署借贷关系；</w:t>
      </w:r>
    </w:p>
    <w:p>
      <w:pPr>
        <w:spacing w:before="0" w:after="80" w:line="276" w:lineRule="auto"/>
      </w:pPr>
      <w:r>
        <w:rPr>
          <w:rFonts w:ascii="Arial" w:hAnsi="Arial"/>
          <w:color w:val="1E293B"/>
          <w:sz w:val="20"/>
        </w:rPr>
        <w:t xml:space="preserve">     * 撤销或免除既有债权。</w:t>
      </w:r>
    </w:p>
    <w:p>
      <w:pPr>
        <w:spacing w:before="0" w:after="80" w:line="276" w:lineRule="auto"/>
      </w:pPr>
      <w:r>
        <w:rPr>
          <w:rFonts w:ascii="Arial" w:hAnsi="Arial"/>
          <w:color w:val="1E293B"/>
          <w:sz w:val="20"/>
        </w:rPr>
        <w:t xml:space="preserve">  3. *欺诈手段*（法定四种方式之一或结合）：</w:t>
      </w:r>
    </w:p>
    <w:p>
      <w:pPr>
        <w:spacing w:before="0" w:after="80" w:line="276" w:lineRule="auto"/>
      </w:pPr>
      <w:r>
        <w:rPr>
          <w:rFonts w:ascii="Arial" w:hAnsi="Arial"/>
          <w:color w:val="1E293B"/>
          <w:sz w:val="20"/>
        </w:rPr>
        <w:t xml:space="preserve">     * 冒用假名（*Valsche naam*）；</w:t>
      </w:r>
    </w:p>
    <w:p>
      <w:pPr>
        <w:spacing w:before="0" w:after="80" w:line="276" w:lineRule="auto"/>
      </w:pPr>
      <w:r>
        <w:rPr>
          <w:rFonts w:ascii="Arial" w:hAnsi="Arial"/>
          <w:color w:val="1E293B"/>
          <w:sz w:val="20"/>
        </w:rPr>
        <w:t xml:space="preserve">     * 冒用虚假身份/资格（*Valsche hoedanigheid*）；</w:t>
      </w:r>
    </w:p>
    <w:p>
      <w:pPr>
        <w:spacing w:before="0" w:after="80" w:line="276" w:lineRule="auto"/>
      </w:pPr>
      <w:r>
        <w:rPr>
          <w:rFonts w:ascii="Arial" w:hAnsi="Arial"/>
          <w:color w:val="1E293B"/>
          <w:sz w:val="20"/>
        </w:rPr>
        <w:t xml:space="preserve">     * 施用诡计/圈套（*Listige kunstgrepen*）；</w:t>
      </w:r>
    </w:p>
    <w:p>
      <w:pPr>
        <w:spacing w:before="0" w:after="80" w:line="276" w:lineRule="auto"/>
      </w:pPr>
      <w:r>
        <w:rPr>
          <w:rFonts w:ascii="Arial" w:hAnsi="Arial"/>
          <w:color w:val="1E293B"/>
          <w:sz w:val="20"/>
        </w:rPr>
        <w:t xml:space="preserve">     * 编造虚假谎言体系（*Samenweefsel van verdichtsels*）。</w:t>
      </w:r>
    </w:p>
    <w:p>
      <w:pPr>
        <w:spacing w:before="0" w:after="80"/>
      </w:pPr>
    </w:p>
    <w:p>
      <w:pPr>
        <w:spacing w:before="160" w:after="80" w:line="276" w:lineRule="auto"/>
      </w:pPr>
      <w:r>
        <w:rPr>
          <w:rFonts w:ascii="Arial" w:hAnsi="Arial"/>
          <w:b/>
          <w:color w:val="0F172A"/>
          <w:sz w:val="21"/>
        </w:rPr>
        <w:t>##### 2. 侵占罪的构成要件（第372条）</w:t>
      </w:r>
    </w:p>
    <w:p>
      <w:pPr>
        <w:spacing w:before="0" w:after="80" w:line="276" w:lineRule="auto"/>
      </w:pPr>
      <w:r>
        <w:rPr>
          <w:rFonts w:ascii="Arial" w:hAnsi="Arial"/>
          <w:color w:val="1E293B"/>
          <w:sz w:val="20"/>
        </w:rPr>
        <w:t>* **主观要件：**</w:t>
      </w:r>
    </w:p>
    <w:p>
      <w:pPr>
        <w:spacing w:before="0" w:after="80" w:line="276" w:lineRule="auto"/>
      </w:pPr>
      <w:r>
        <w:rPr>
          <w:rFonts w:ascii="Arial" w:hAnsi="Arial"/>
          <w:color w:val="1E293B"/>
          <w:sz w:val="20"/>
        </w:rPr>
        <w:t xml:space="preserve">  1. *直接故意*（*Opzet*）；</w:t>
      </w:r>
    </w:p>
    <w:p>
      <w:pPr>
        <w:spacing w:before="0" w:after="80" w:line="276" w:lineRule="auto"/>
      </w:pPr>
      <w:r>
        <w:rPr>
          <w:rFonts w:ascii="Arial" w:hAnsi="Arial"/>
          <w:color w:val="1E293B"/>
          <w:sz w:val="20"/>
        </w:rPr>
        <w:t xml:space="preserve">  2. 具有*不法自居为所有人*（*Zich toe-eigenen*）之意图，且明知其占有行为违反法律规定。</w:t>
      </w:r>
    </w:p>
    <w:p>
      <w:pPr>
        <w:spacing w:before="0" w:after="80" w:line="276" w:lineRule="auto"/>
      </w:pPr>
      <w:r>
        <w:rPr>
          <w:rFonts w:ascii="Arial" w:hAnsi="Arial"/>
          <w:color w:val="1E293B"/>
          <w:sz w:val="20"/>
        </w:rPr>
        <w:t>* **客观要件：**</w:t>
      </w:r>
    </w:p>
    <w:p>
      <w:pPr>
        <w:spacing w:before="0" w:after="80" w:line="276" w:lineRule="auto"/>
      </w:pPr>
      <w:r>
        <w:rPr>
          <w:rFonts w:ascii="Arial" w:hAnsi="Arial"/>
          <w:color w:val="1E293B"/>
          <w:sz w:val="20"/>
        </w:rPr>
        <w:t xml:space="preserve">  1. *自然人主体*；</w:t>
      </w:r>
    </w:p>
    <w:p>
      <w:pPr>
        <w:spacing w:before="0" w:after="80" w:line="276" w:lineRule="auto"/>
      </w:pPr>
      <w:r>
        <w:rPr>
          <w:rFonts w:ascii="Arial" w:hAnsi="Arial"/>
          <w:color w:val="1E293B"/>
          <w:sz w:val="20"/>
        </w:rPr>
        <w:t xml:space="preserve">  2. *非法处分、侵吞或占为己有*（*Zich toe-eigenen*）他人财物；</w:t>
      </w:r>
    </w:p>
    <w:p>
      <w:pPr>
        <w:spacing w:before="0" w:after="80" w:line="276" w:lineRule="auto"/>
      </w:pPr>
      <w:r>
        <w:rPr>
          <w:rFonts w:ascii="Arial" w:hAnsi="Arial"/>
          <w:color w:val="1E293B"/>
          <w:sz w:val="20"/>
        </w:rPr>
        <w:t xml:space="preserve">  3. 涉案财物全部或部分*归他人所有*；</w:t>
      </w:r>
    </w:p>
    <w:p>
      <w:pPr>
        <w:spacing w:before="0" w:after="80" w:line="276" w:lineRule="auto"/>
      </w:pPr>
      <w:r>
        <w:rPr>
          <w:rFonts w:ascii="Arial" w:hAnsi="Arial"/>
          <w:color w:val="1E293B"/>
          <w:sz w:val="20"/>
        </w:rPr>
        <w:t xml:space="preserve">  4. 行为人对该财物的实际控制占有*先于犯意且合法成立，非因犯罪行为所取得*（例如基于保管、租赁、雇佣、代理或信托关系占有）。</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三、 理论与司法实务的核心区别（诈骗罪 vs. 侵占罪）</w:t>
      </w:r>
    </w:p>
    <w:p>
      <w:pPr>
        <w:spacing w:before="0" w:after="80"/>
      </w:pPr>
    </w:p>
    <w:p>
      <w:pPr>
        <w:spacing w:before="0" w:after="80" w:line="276" w:lineRule="auto"/>
      </w:pPr>
      <w:r>
        <w:rPr>
          <w:rFonts w:ascii="Arial" w:hAnsi="Arial"/>
          <w:color w:val="1E293B"/>
          <w:sz w:val="20"/>
        </w:rPr>
        <w:t>| 比较维度 | 诈骗罪 (Pasal 378 KUHP) | 侵占罪 (Pasal 372 KUHP)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**财物占有转移原因** | 被害人交付财物**完全是基于**行为人的欺诈手段、虚假身份或谎言体系诱骗所致（意思表示存在瑕疵）。 | 行为人在产生犯罪故意前，**已经基于合法原因合法占有**该财物。 |</w:t>
      </w:r>
    </w:p>
    <w:p>
      <w:pPr>
        <w:spacing w:before="0" w:after="80" w:line="276" w:lineRule="auto"/>
      </w:pPr>
      <w:r>
        <w:rPr>
          <w:rFonts w:ascii="Arial" w:hAnsi="Arial"/>
          <w:color w:val="1E293B"/>
          <w:sz w:val="20"/>
        </w:rPr>
        <w:t>| **犯意（*Mens Rea*）产生时间节点** | 犯意产生于财物交付**之前或交付之时**。 | 犯意产生于合法取得财物控制权**之后**。 |</w:t>
      </w:r>
    </w:p>
    <w:p>
      <w:pPr>
        <w:spacing w:before="0" w:after="80" w:line="276" w:lineRule="auto"/>
      </w:pPr>
      <w:r>
        <w:rPr>
          <w:rFonts w:ascii="Arial" w:hAnsi="Arial"/>
          <w:color w:val="1E293B"/>
          <w:sz w:val="20"/>
        </w:rPr>
        <w:t>| **基础法律关系性质** | 欺诈自始贯穿，基础民事法律行为因欺诈自始存在可撤销或无效事由。 | 初始占有合法有效（如有效的委托、租赁、仓储或劳动合同）。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四、 民刑交叉界限（民事违约 vs. 刑事诈骗/侵占）</w:t>
      </w:r>
    </w:p>
    <w:p>
      <w:pPr>
        <w:spacing w:before="0" w:after="80"/>
      </w:pPr>
    </w:p>
    <w:p>
      <w:pPr>
        <w:spacing w:before="0" w:after="80" w:line="276" w:lineRule="auto"/>
      </w:pPr>
      <w:r>
        <w:rPr>
          <w:rFonts w:ascii="Arial" w:hAnsi="Arial"/>
          <w:color w:val="1E293B"/>
          <w:sz w:val="20"/>
        </w:rPr>
        <w:t>为防止将普通民商事纠纷（*Wanprestasi*）不当刑事化，印尼最高法院确立了明确的司法判例规则（如最高法院第1606 K/Pid/1982号判决和第449 K/Pid/2001号判决）：</w:t>
      </w:r>
    </w:p>
    <w:p>
      <w:pPr>
        <w:spacing w:before="0" w:after="80" w:line="276" w:lineRule="auto"/>
      </w:pPr>
      <w:r>
        <w:rPr>
          <w:rFonts w:ascii="Arial" w:hAnsi="Arial"/>
          <w:color w:val="1E293B"/>
          <w:sz w:val="20"/>
        </w:rPr>
        <w:t>1. **纯粹民事违约（Wanprestasi）：** 当事人之间存在合法有效的合同关系（《印尼民法典》第1320条及第1338条），未能履约系因履约过程中的情势变更、不可抗力（*Overmacht*）或客观经济困难所致，行为人自始并无欺诈故意或侵吞恶意的，纯属民事责任，不得按刑事犯罪论处。</w:t>
      </w:r>
    </w:p>
    <w:p>
      <w:pPr>
        <w:spacing w:before="0" w:after="80" w:line="276" w:lineRule="auto"/>
      </w:pPr>
      <w:r>
        <w:rPr>
          <w:rFonts w:ascii="Arial" w:hAnsi="Arial"/>
          <w:color w:val="1E293B"/>
          <w:sz w:val="20"/>
        </w:rPr>
        <w:t>2. **构成刑事诈骗的情形：** 签约前或签约时即已使用虚假资质、伪造资信证明、假冒标的物，或合同形式仅作为诱骗被害人转移财产的掩护工具，行为人自始完全不具备履约意愿或能力。</w:t>
      </w:r>
    </w:p>
    <w:p>
      <w:pPr>
        <w:spacing w:before="0" w:after="80" w:line="276" w:lineRule="auto"/>
      </w:pPr>
      <w:r>
        <w:rPr>
          <w:rFonts w:ascii="Arial" w:hAnsi="Arial"/>
          <w:color w:val="1E293B"/>
          <w:sz w:val="20"/>
        </w:rPr>
        <w:t>3. **构成刑事侵占的情形：** 行为人将基于特定商业信托、职务委托（如特定项目款项、寄售代销物资、公司资产）合法控制的财产，未经授权擅自转移、转售、抵押或用于个人挥霍，且拒绝返还。</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五、 商业合规与法律风险防范建议</w:t>
      </w:r>
    </w:p>
    <w:p>
      <w:pPr>
        <w:spacing w:before="0" w:after="80"/>
      </w:pPr>
    </w:p>
    <w:p>
      <w:pPr>
        <w:spacing w:before="0" w:after="80" w:line="276" w:lineRule="auto"/>
      </w:pPr>
      <w:r>
        <w:rPr>
          <w:rFonts w:ascii="Arial" w:hAnsi="Arial"/>
          <w:color w:val="1E293B"/>
          <w:sz w:val="20"/>
        </w:rPr>
        <w:t>1. **严格开展交易相对方尽职调查（KYC）：** 在签署涉及重大资产处分、借贷或资金托管的协议前，必须实质核实签约主体的法人资格、授权委托书真实性及资产履行能力，防范虚假身份及欺诈风险。</w:t>
      </w:r>
    </w:p>
    <w:p>
      <w:pPr>
        <w:spacing w:before="0" w:after="80" w:line="276" w:lineRule="auto"/>
      </w:pPr>
      <w:r>
        <w:rPr>
          <w:rFonts w:ascii="Arial" w:hAnsi="Arial"/>
          <w:color w:val="1E293B"/>
          <w:sz w:val="20"/>
        </w:rPr>
        <w:t>2. **明确限定财物控制权限与违约责任：** 合同条款中应明确界定财物控制权属性（仅为占有使用权而非所有权），设定未经书面许可不得处置资产的消极限制性条款（*Negative Covenant*），并确立逾期返还的违约金机制。</w:t>
      </w:r>
    </w:p>
    <w:p>
      <w:pPr>
        <w:spacing w:before="0" w:after="80" w:line="276" w:lineRule="auto"/>
      </w:pPr>
      <w:r>
        <w:rPr>
          <w:rFonts w:ascii="Arial" w:hAnsi="Arial"/>
          <w:color w:val="1E293B"/>
          <w:sz w:val="20"/>
        </w:rPr>
        <w:t>3. **完善证据留存与催告前置程序：** 完整保存履约前、履约中各阶段的书面往来凭证及资产交接清单。出现违约情形时，应依法送达至少两次正式催告函（*Somasi*），以固定相对方是否存在恶意违约或非法占有意图，为后续民事诉讼或刑事报案构建排他性证据链。</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