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"Pasal 378 dan 372 KUHP Tindak Pidana Penipuan dan Penggelapan"</w:t>
      </w:r>
    </w:p>
    <w:p>
      <w:pPr>
        <w:spacing w:before="0" w:after="360"/>
        <w:jc w:val="center"/>
      </w:pPr>
      <w:r>
        <w:rPr>
          <w:rFonts w:ascii="Arial" w:hAnsi="Arial"/>
          <w:color w:val="64748B"/>
          <w:sz w:val="17"/>
        </w:rPr>
        <w:t>CATEGORY: CORPORATE &amp; INVESTMENT | DUAL LANGUAGE: ID ↔ MANDARIN CHINESE (中文) | 05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0" w:after="80" w:line="276" w:lineRule="auto"/>
      </w:pPr>
      <w:r>
        <w:rPr>
          <w:rFonts w:ascii="Arial" w:hAnsi="Arial"/>
          <w:color w:val="1E293B"/>
          <w:sz w:val="20"/>
        </w:rPr>
        <w:t>Tindak pidana Penipuan (*oplichting*) dan Penggelapan (*verduistering*) merupakan delik terhadap harta benda (*vermogensdelicten*) yang diatur secara tegas dalam Kitab Undang-Undang Hukum Pidana (KUHP lama yang bersumber dari *Wetboek van Strafrecht voor Nederlandsch-Indie* / UU No. 1 Tahun 1946) serta telah diperbarui dalam UU No. 1 Tahun 2023 tentang Kitab Undang-Undang Hukum Pidana (KUHP Nasional).</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 PASAL 378 KUHP: TINDAK PIDANA PENIPUAN (*OPLICHTING*)</w:t>
      </w:r>
    </w:p>
    <w:p>
      <w:pPr>
        <w:spacing w:before="0" w:after="80"/>
      </w:pPr>
    </w:p>
    <w:p>
      <w:pPr>
        <w:spacing w:before="0" w:after="80" w:line="276" w:lineRule="auto"/>
      </w:pPr>
      <w:r>
        <w:rPr>
          <w:rFonts w:ascii="Arial" w:hAnsi="Arial"/>
          <w:color w:val="1E293B"/>
          <w:sz w:val="20"/>
        </w:rPr>
        <w:t>**Teks Statuta (Pasal 378 KUHP):**</w:t>
      </w:r>
    </w:p>
    <w:p>
      <w:pPr>
        <w:spacing w:before="0" w:after="80" w:line="276" w:lineRule="auto"/>
      </w:pPr>
      <w:r>
        <w:rPr>
          <w:rFonts w:ascii="Arial" w:hAnsi="Arial"/>
          <w:color w:val="1E293B"/>
          <w:sz w:val="20"/>
        </w:rPr>
        <w:t>&gt; *"Barang siapa dengan maksud untuk menguntungkan diri sendiri atau orang lain secara melawan hukum, dengan memakai nama palsu atau martabat palsu, dengan tipu muslihat, ataupun rangkaian kebohongan, menggerakkan orang lain untuk menyerahkan barang sesuatu kepadanya, atau supaya memberi hutang maupun menghapuskan piutang, diancam karena penipuan dengan pidana penjara paling lama empat tahun."*</w:t>
      </w:r>
    </w:p>
    <w:p>
      <w:pPr>
        <w:spacing w:before="0" w:after="80"/>
      </w:pPr>
    </w:p>
    <w:p>
      <w:pPr>
        <w:spacing w:before="0" w:after="80" w:line="276" w:lineRule="auto"/>
      </w:pPr>
      <w:r>
        <w:rPr>
          <w:rFonts w:ascii="Arial" w:hAnsi="Arial"/>
          <w:color w:val="1E293B"/>
          <w:sz w:val="20"/>
        </w:rPr>
        <w:t>**Anatomi Unsur Delik:**</w:t>
      </w:r>
    </w:p>
    <w:p>
      <w:pPr>
        <w:spacing w:before="0" w:after="80" w:line="276" w:lineRule="auto"/>
      </w:pPr>
      <w:r>
        <w:rPr>
          <w:rFonts w:ascii="Arial" w:hAnsi="Arial"/>
          <w:color w:val="1E293B"/>
          <w:sz w:val="20"/>
        </w:rPr>
        <w:t>1. **Unsur Subjektif:**</w:t>
      </w:r>
    </w:p>
    <w:p>
      <w:pPr>
        <w:spacing w:before="0" w:after="80" w:line="276" w:lineRule="auto"/>
      </w:pPr>
      <w:r>
        <w:rPr>
          <w:rFonts w:ascii="Arial" w:hAnsi="Arial"/>
          <w:color w:val="1E293B"/>
          <w:sz w:val="20"/>
        </w:rPr>
        <w:t xml:space="preserve">   * **Dengan maksud (*met het oogmerk*):** Adanya kesengajaan sebagai niat (*opzet als oogmerk*).</w:t>
      </w:r>
    </w:p>
    <w:p>
      <w:pPr>
        <w:spacing w:before="0" w:after="80" w:line="276" w:lineRule="auto"/>
      </w:pPr>
      <w:r>
        <w:rPr>
          <w:rFonts w:ascii="Arial" w:hAnsi="Arial"/>
          <w:color w:val="1E293B"/>
          <w:sz w:val="20"/>
        </w:rPr>
        <w:t xml:space="preserve">   * **Menguntungkan diri sendiri atau orang lain:** Bertujuan memperoleh penambahan nilai ekonomis.</w:t>
      </w:r>
    </w:p>
    <w:p>
      <w:pPr>
        <w:spacing w:before="0" w:after="80" w:line="276" w:lineRule="auto"/>
      </w:pPr>
      <w:r>
        <w:rPr>
          <w:rFonts w:ascii="Arial" w:hAnsi="Arial"/>
          <w:color w:val="1E293B"/>
          <w:sz w:val="20"/>
        </w:rPr>
        <w:t xml:space="preserve">   * **Secara melawan hukum (*wederrechtelijk*):** Dilakukan bertentangan dengan hak orang lain, kepatutan hukum, atau tanpa dasar hak yang sah.</w:t>
      </w:r>
    </w:p>
    <w:p>
      <w:pPr>
        <w:spacing w:before="0" w:after="80" w:line="276" w:lineRule="auto"/>
      </w:pPr>
      <w:r>
        <w:rPr>
          <w:rFonts w:ascii="Arial" w:hAnsi="Arial"/>
          <w:color w:val="1E293B"/>
          <w:sz w:val="20"/>
        </w:rPr>
        <w:t>2. **Unsur Objektif:**</w:t>
      </w:r>
    </w:p>
    <w:p>
      <w:pPr>
        <w:spacing w:before="0" w:after="80" w:line="276" w:lineRule="auto"/>
      </w:pPr>
      <w:r>
        <w:rPr>
          <w:rFonts w:ascii="Arial" w:hAnsi="Arial"/>
          <w:color w:val="1E293B"/>
          <w:sz w:val="20"/>
        </w:rPr>
        <w:t xml:space="preserve">   * **Menggerakkan (*bewegen*) orang lain:** Mempengaruhi kehendak korban sehingga korban bertindak menyerahkan sesuatu.</w:t>
      </w:r>
    </w:p>
    <w:p>
      <w:pPr>
        <w:spacing w:before="0" w:after="80" w:line="276" w:lineRule="auto"/>
      </w:pPr>
      <w:r>
        <w:rPr>
          <w:rFonts w:ascii="Arial" w:hAnsi="Arial"/>
          <w:color w:val="1E293B"/>
          <w:sz w:val="20"/>
        </w:rPr>
        <w:t xml:space="preserve">   * **Upaya penipuan (*bedrieglijke middelen*):**</w:t>
      </w:r>
    </w:p>
    <w:p>
      <w:pPr>
        <w:spacing w:before="0" w:after="80" w:line="276" w:lineRule="auto"/>
      </w:pPr>
      <w:r>
        <w:rPr>
          <w:rFonts w:ascii="Arial" w:hAnsi="Arial"/>
          <w:color w:val="1E293B"/>
          <w:sz w:val="20"/>
        </w:rPr>
        <w:t xml:space="preserve">     * Memakai nama palsu (*valse naam*);</w:t>
      </w:r>
    </w:p>
    <w:p>
      <w:pPr>
        <w:spacing w:before="0" w:after="80" w:line="276" w:lineRule="auto"/>
      </w:pPr>
      <w:r>
        <w:rPr>
          <w:rFonts w:ascii="Arial" w:hAnsi="Arial"/>
          <w:color w:val="1E293B"/>
          <w:sz w:val="20"/>
        </w:rPr>
        <w:t xml:space="preserve">     * Memakai martabat/keadaan palsu (*valse hoedanigkeit*);</w:t>
      </w:r>
    </w:p>
    <w:p>
      <w:pPr>
        <w:spacing w:before="0" w:after="80" w:line="276" w:lineRule="auto"/>
      </w:pPr>
      <w:r>
        <w:rPr>
          <w:rFonts w:ascii="Arial" w:hAnsi="Arial"/>
          <w:color w:val="1E293B"/>
          <w:sz w:val="20"/>
        </w:rPr>
        <w:t xml:space="preserve">     * Tipu muslihat (*listige kunstgrepen*);</w:t>
      </w:r>
    </w:p>
    <w:p>
      <w:pPr>
        <w:spacing w:before="0" w:after="80" w:line="276" w:lineRule="auto"/>
      </w:pPr>
      <w:r>
        <w:rPr>
          <w:rFonts w:ascii="Arial" w:hAnsi="Arial"/>
          <w:color w:val="1E293B"/>
          <w:sz w:val="20"/>
        </w:rPr>
        <w:t xml:space="preserve">     * Rangkaian kebohongan (*samenweefsel van verdichtsels*).</w:t>
      </w:r>
    </w:p>
    <w:p>
      <w:pPr>
        <w:spacing w:before="0" w:after="80" w:line="276" w:lineRule="auto"/>
      </w:pPr>
      <w:r>
        <w:rPr>
          <w:rFonts w:ascii="Arial" w:hAnsi="Arial"/>
          <w:color w:val="1E293B"/>
          <w:sz w:val="20"/>
        </w:rPr>
        <w:t xml:space="preserve">   * **Tujuan penggerakan:**</w:t>
      </w:r>
    </w:p>
    <w:p>
      <w:pPr>
        <w:spacing w:before="0" w:after="80" w:line="276" w:lineRule="auto"/>
      </w:pPr>
      <w:r>
        <w:rPr>
          <w:rFonts w:ascii="Arial" w:hAnsi="Arial"/>
          <w:color w:val="1E293B"/>
          <w:sz w:val="20"/>
        </w:rPr>
        <w:t xml:space="preserve">     * Menyerahkan barang sesuatu (*afgifte van enig goed*);</w:t>
      </w:r>
    </w:p>
    <w:p>
      <w:pPr>
        <w:spacing w:before="0" w:after="80" w:line="276" w:lineRule="auto"/>
      </w:pPr>
      <w:r>
        <w:rPr>
          <w:rFonts w:ascii="Arial" w:hAnsi="Arial"/>
          <w:color w:val="1E293B"/>
          <w:sz w:val="20"/>
        </w:rPr>
        <w:t xml:space="preserve">     * Memberi utang (*het aangaan van een schuld*); atau</w:t>
      </w:r>
    </w:p>
    <w:p>
      <w:pPr>
        <w:spacing w:before="0" w:after="80" w:line="276" w:lineRule="auto"/>
      </w:pPr>
      <w:r>
        <w:rPr>
          <w:rFonts w:ascii="Arial" w:hAnsi="Arial"/>
          <w:color w:val="1E293B"/>
          <w:sz w:val="20"/>
        </w:rPr>
        <w:t xml:space="preserve">     * Menghapuskan piutang (*het tenietdoen van een inschuld*).</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II. PASAL 372 KUHP: TINDAK PIDANA PENGGELAPAN (*VERDUISTERING*)</w:t>
      </w:r>
    </w:p>
    <w:p>
      <w:pPr>
        <w:spacing w:before="0" w:after="80"/>
      </w:pPr>
    </w:p>
    <w:p>
      <w:pPr>
        <w:spacing w:before="0" w:after="80" w:line="276" w:lineRule="auto"/>
      </w:pPr>
      <w:r>
        <w:rPr>
          <w:rFonts w:ascii="Arial" w:hAnsi="Arial"/>
          <w:color w:val="1E293B"/>
          <w:sz w:val="20"/>
        </w:rPr>
        <w:t>**Teks Statuta (Pasal 372 KUHP):**</w:t>
      </w:r>
    </w:p>
    <w:p>
      <w:pPr>
        <w:spacing w:before="0" w:after="80" w:line="276" w:lineRule="auto"/>
      </w:pPr>
      <w:r>
        <w:rPr>
          <w:rFonts w:ascii="Arial" w:hAnsi="Arial"/>
          <w:color w:val="1E293B"/>
          <w:sz w:val="20"/>
        </w:rPr>
        <w:t xml:space="preserve">&gt; *"Barang siapa dengan sengaja dan melawan hukum memiliki barang sesuatu yang seluruhnya atau sebagian adalah kepunyaan orang lain, tetapi yang ada dalam kekuasaannya bukan karena kejahatan, diancam karena penggelapan, dengan pidana penjara paling lama empat tahun atau pidana denda paling banyak sembilan ratus rupiah."*  </w:t>
      </w:r>
    </w:p>
    <w:p>
      <w:pPr>
        <w:spacing w:before="0" w:after="80" w:line="276" w:lineRule="auto"/>
      </w:pPr>
      <w:r>
        <w:rPr>
          <w:rFonts w:ascii="Arial" w:hAnsi="Arial"/>
          <w:color w:val="1E293B"/>
          <w:sz w:val="20"/>
        </w:rPr>
        <w:t>*(Catatan: Nilai denda disesuaikan berdasar Peraturan Mahkamah Agung No. 2 Tahun 2012 dilipatgandakan 1.000 kali menjadi maksimal Rp4.500.000,-).*</w:t>
      </w:r>
    </w:p>
    <w:p>
      <w:pPr>
        <w:spacing w:before="0" w:after="80"/>
      </w:pPr>
    </w:p>
    <w:p>
      <w:pPr>
        <w:spacing w:before="0" w:after="80" w:line="276" w:lineRule="auto"/>
      </w:pPr>
      <w:r>
        <w:rPr>
          <w:rFonts w:ascii="Arial" w:hAnsi="Arial"/>
          <w:color w:val="1E293B"/>
          <w:sz w:val="20"/>
        </w:rPr>
        <w:t>**Anatomi Unsur Delik:**</w:t>
      </w:r>
    </w:p>
    <w:p>
      <w:pPr>
        <w:spacing w:before="0" w:after="80" w:line="276" w:lineRule="auto"/>
      </w:pPr>
      <w:r>
        <w:rPr>
          <w:rFonts w:ascii="Arial" w:hAnsi="Arial"/>
          <w:color w:val="1E293B"/>
          <w:sz w:val="20"/>
        </w:rPr>
        <w:t>1. **Unsur Subjektif:**</w:t>
      </w:r>
    </w:p>
    <w:p>
      <w:pPr>
        <w:spacing w:before="0" w:after="80" w:line="276" w:lineRule="auto"/>
      </w:pPr>
      <w:r>
        <w:rPr>
          <w:rFonts w:ascii="Arial" w:hAnsi="Arial"/>
          <w:color w:val="1E293B"/>
          <w:sz w:val="20"/>
        </w:rPr>
        <w:t xml:space="preserve">   * **Dengan sengaja (*opzettelijk*):** Kesadaran dan kehendak pelaku untuk menguasai barang tersebut sebagai pemilik.</w:t>
      </w:r>
    </w:p>
    <w:p>
      <w:pPr>
        <w:spacing w:before="0" w:after="80" w:line="276" w:lineRule="auto"/>
      </w:pPr>
      <w:r>
        <w:rPr>
          <w:rFonts w:ascii="Arial" w:hAnsi="Arial"/>
          <w:color w:val="1E293B"/>
          <w:sz w:val="20"/>
        </w:rPr>
        <w:t xml:space="preserve">   * **Secara melawan hukum (*wederrechtelijk*).**</w:t>
      </w:r>
    </w:p>
    <w:p>
      <w:pPr>
        <w:spacing w:before="0" w:after="80" w:line="276" w:lineRule="auto"/>
      </w:pPr>
      <w:r>
        <w:rPr>
          <w:rFonts w:ascii="Arial" w:hAnsi="Arial"/>
          <w:color w:val="1E293B"/>
          <w:sz w:val="20"/>
        </w:rPr>
        <w:t>2. **Unsur Objektif:**</w:t>
      </w:r>
    </w:p>
    <w:p>
      <w:pPr>
        <w:spacing w:before="0" w:after="80" w:line="276" w:lineRule="auto"/>
      </w:pPr>
      <w:r>
        <w:rPr>
          <w:rFonts w:ascii="Arial" w:hAnsi="Arial"/>
          <w:color w:val="1E293B"/>
          <w:sz w:val="20"/>
        </w:rPr>
        <w:t xml:space="preserve">   * **Memiliki (*zich toeeigenen*):** Bertindak seolah-olah sebagai pemilik sah (misal: menjual, menggadaikan, mengonsumsi, atau memindahtangankan).</w:t>
      </w:r>
    </w:p>
    <w:p>
      <w:pPr>
        <w:spacing w:before="0" w:after="80" w:line="276" w:lineRule="auto"/>
      </w:pPr>
      <w:r>
        <w:rPr>
          <w:rFonts w:ascii="Arial" w:hAnsi="Arial"/>
          <w:color w:val="1E293B"/>
          <w:sz w:val="20"/>
        </w:rPr>
        <w:t xml:space="preserve">   * **Barang (*enig goed*):** Baik berwujud maupun tidak berwujud, bernilai ekonomis.</w:t>
      </w:r>
    </w:p>
    <w:p>
      <w:pPr>
        <w:spacing w:before="0" w:after="80" w:line="276" w:lineRule="auto"/>
      </w:pPr>
      <w:r>
        <w:rPr>
          <w:rFonts w:ascii="Arial" w:hAnsi="Arial"/>
          <w:color w:val="1E293B"/>
          <w:sz w:val="20"/>
        </w:rPr>
        <w:t xml:space="preserve">   * **Sebagian atau seluruhnya milik orang lain.**</w:t>
      </w:r>
    </w:p>
    <w:p>
      <w:pPr>
        <w:spacing w:before="0" w:after="80" w:line="276" w:lineRule="auto"/>
      </w:pPr>
      <w:r>
        <w:rPr>
          <w:rFonts w:ascii="Arial" w:hAnsi="Arial"/>
          <w:color w:val="1E293B"/>
          <w:sz w:val="20"/>
        </w:rPr>
        <w:t xml:space="preserve">   * **Berada dalam kekuasaannya bukan karena kejahatan (*anders dan door misdrijf onder zich hebben*):** Barang telah sah berada di tangan pelaku melalui hubungan hukum yang sah (misal: penitipan, sewa-menyewa, hubungan kerja/kuasa).</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III. PERBEDAAN FUNDAMENTAL (DISTINGSI YURIDIS)</w:t>
      </w:r>
    </w:p>
    <w:p>
      <w:pPr>
        <w:spacing w:before="0" w:after="80"/>
      </w:pPr>
    </w:p>
    <w:p>
      <w:pPr>
        <w:spacing w:before="0" w:after="80" w:line="276" w:lineRule="auto"/>
      </w:pPr>
      <w:r>
        <w:rPr>
          <w:rFonts w:ascii="Arial" w:hAnsi="Arial"/>
          <w:color w:val="1E293B"/>
          <w:sz w:val="20"/>
        </w:rPr>
        <w:t>| Parameter Pembeda | Penipuan (Pasal 378 KUHP) | Penggelapan (Pasal 372 KUHP) |</w:t>
      </w:r>
    </w:p>
    <w:p>
      <w:pPr>
        <w:spacing w:before="0" w:after="80" w:line="276" w:lineRule="auto"/>
      </w:pPr>
      <w:r>
        <w:rPr>
          <w:rFonts w:ascii="Arial" w:hAnsi="Arial"/>
          <w:color w:val="1E293B"/>
          <w:sz w:val="20"/>
        </w:rPr>
        <w:t>| :--- | :--- | :--- |</w:t>
      </w:r>
    </w:p>
    <w:p>
      <w:pPr>
        <w:spacing w:before="0" w:after="80" w:line="276" w:lineRule="auto"/>
      </w:pPr>
      <w:r>
        <w:rPr>
          <w:rFonts w:ascii="Arial" w:hAnsi="Arial"/>
          <w:color w:val="1E293B"/>
          <w:sz w:val="20"/>
        </w:rPr>
        <w:t>| **Peralihan Barang** | Barang beralih dari korban kepada pelaku **akibat daya bujuk/tipu muslihat** yang dilancarkan pelaku. | Barang **sudah berada secara sah** dalam penguasaan pelaku sebelum timbul niat jahat. |</w:t>
      </w:r>
    </w:p>
    <w:p>
      <w:pPr>
        <w:spacing w:before="0" w:after="80" w:line="276" w:lineRule="auto"/>
      </w:pPr>
      <w:r>
        <w:rPr>
          <w:rFonts w:ascii="Arial" w:hAnsi="Arial"/>
          <w:color w:val="1E293B"/>
          <w:sz w:val="20"/>
        </w:rPr>
        <w:t>| **Kausalitas (*Causality*)** | Hubungan kausal antara muslihat (kebohongan) dengan penyerahan barang. | Tidak ada penipuan awal; penyerahan awal sah demi hukum (titipan/sewa/mandat). |</w:t>
      </w:r>
    </w:p>
    <w:p>
      <w:pPr>
        <w:spacing w:before="0" w:after="80" w:line="276" w:lineRule="auto"/>
      </w:pPr>
      <w:r>
        <w:rPr>
          <w:rFonts w:ascii="Arial" w:hAnsi="Arial"/>
          <w:color w:val="1E293B"/>
          <w:sz w:val="20"/>
        </w:rPr>
        <w:t>| **Niat Jahat (*Mens Rea*)** | Muncul **sebelum atau saat** barang diserahkan. | Muncul **setelah** barang berada secara sah dalam kekuasaan pelaku. |</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IV. DEMARKASI DELIK PIDANA VS WANPRESTASI PERDATA</w:t>
      </w:r>
    </w:p>
    <w:p>
      <w:pPr>
        <w:spacing w:before="0" w:after="80"/>
      </w:pPr>
    </w:p>
    <w:p>
      <w:pPr>
        <w:spacing w:before="0" w:after="80" w:line="276" w:lineRule="auto"/>
      </w:pPr>
      <w:r>
        <w:rPr>
          <w:rFonts w:ascii="Arial" w:hAnsi="Arial"/>
          <w:color w:val="1E293B"/>
          <w:sz w:val="20"/>
        </w:rPr>
        <w:t>Sengketa komersial kerap dilaporkan menggunakan Pasal 378 atau 372 KUHP. Berdasarkan **Yurisprudensi Tetap Mahkamah Agung RI (antara lain Putusan No. 1606 K/Pid/1986 dan No. 449 K/Pid/2001)**:</w:t>
      </w:r>
    </w:p>
    <w:p>
      <w:pPr>
        <w:spacing w:before="0" w:after="80" w:line="276" w:lineRule="auto"/>
      </w:pPr>
      <w:r>
        <w:rPr>
          <w:rFonts w:ascii="Arial" w:hAnsi="Arial"/>
          <w:color w:val="1E293B"/>
          <w:sz w:val="20"/>
        </w:rPr>
        <w:t>1. Apabila perikatan lahir dari perjanjian yang sah dan iktikad tidak baik/tipu muslihat baru timbul saat pelaksanaan pemenuhan prestasi terhambat, peristiwa hukum tersebut murni merupakan **Wanprestasi Perdata** (*breach of contract*), tunduk pada Pasal 1243 Kitab Undang-Undang Hukum Perdata (KUHPerdata).</w:t>
      </w:r>
    </w:p>
    <w:p>
      <w:pPr>
        <w:spacing w:before="0" w:after="80" w:line="276" w:lineRule="auto"/>
      </w:pPr>
      <w:r>
        <w:rPr>
          <w:rFonts w:ascii="Arial" w:hAnsi="Arial"/>
          <w:color w:val="1E293B"/>
          <w:sz w:val="20"/>
        </w:rPr>
        <w:t>2. Delik **Penipuan (Pasal 378 KUHP)** terpenuhi hanya jika dapat dibuktikan bahwa sejak awal sebelum kesepakatan dibuat, pelaku telah menggunakan identitas palsu, tipu muslihat, atau keadaan palsu yang mendorong penyerahan modal/aset.</w:t>
      </w:r>
    </w:p>
    <w:p>
      <w:pPr>
        <w:spacing w:before="0" w:after="80" w:line="276" w:lineRule="auto"/>
      </w:pPr>
      <w:r>
        <w:rPr>
          <w:rFonts w:ascii="Arial" w:hAnsi="Arial"/>
          <w:color w:val="1E293B"/>
          <w:sz w:val="20"/>
        </w:rPr>
        <w:t>3. Delik **Penggelapan (Pasal 372 KUHP)** terpenuhi jika dana/barang yang diserahkan secara sah untuk peruntukan khusus disalahgunakan/dikuasai di luar mandat yang diperjanjikan untuk kepentingan pribadi secara melawan hukum.</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V. KORELASI TRANSISIONAL UU NO. 1 TAHUN 2023 (KUHP NASIONAL)</w:t>
      </w:r>
    </w:p>
    <w:p>
      <w:pPr>
        <w:spacing w:before="0" w:after="80"/>
      </w:pPr>
    </w:p>
    <w:p>
      <w:pPr>
        <w:spacing w:before="0" w:after="80" w:line="276" w:lineRule="auto"/>
      </w:pPr>
      <w:r>
        <w:rPr>
          <w:rFonts w:ascii="Arial" w:hAnsi="Arial"/>
          <w:color w:val="1E293B"/>
          <w:sz w:val="20"/>
        </w:rPr>
        <w:t>Dalam reformasi kodifikasi pidana yang berlaku efektif Januari 2026:</w:t>
      </w:r>
    </w:p>
    <w:p>
      <w:pPr>
        <w:spacing w:before="0" w:after="80" w:line="276" w:lineRule="auto"/>
      </w:pPr>
      <w:r>
        <w:rPr>
          <w:rFonts w:ascii="Arial" w:hAnsi="Arial"/>
          <w:color w:val="1E293B"/>
          <w:sz w:val="20"/>
        </w:rPr>
        <w:t>* **Penipuan:** Diatur dalam **Pasal 492 UU No. 1 Tahun 2023** dengan ancaman pidana penjara paling lama 4 (empat) tahun atau denda Kategori V (hingga Rp500.000.000,-).</w:t>
      </w:r>
    </w:p>
    <w:p>
      <w:pPr>
        <w:spacing w:before="0" w:after="80" w:line="276" w:lineRule="auto"/>
      </w:pPr>
      <w:r>
        <w:rPr>
          <w:rFonts w:ascii="Arial" w:hAnsi="Arial"/>
          <w:color w:val="1E293B"/>
          <w:sz w:val="20"/>
        </w:rPr>
        <w:t>* **Penggelapan:** Diatur dalam **Pasal 486 UU No. 1 Tahun 2023** dengan ancaman pidana penjara paling lama 4 (empat) tahun atau denda Kategori IV (hingga Rp200.000.000,-).</w:t>
      </w:r>
    </w:p>
    <w:p>
      <w:pPr>
        <w:spacing w:before="0" w:after="80" w:line="276" w:lineRule="auto"/>
      </w:pPr>
      <w:r>
        <w:rPr>
          <w:rFonts w:ascii="Arial" w:hAnsi="Arial"/>
          <w:color w:val="1E293B"/>
          <w:sz w:val="20"/>
        </w:rPr>
        <w:t>* Bentuk pemberatan penggelapan dalam jabatan (dulu Pasal 374 KUHP) diintegrasikan ke dalam **Pasal 488 UU No. 1 Tahun 2023** dengan ancaman pidana penjara hingga 5 (lima) tahun.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VI. PANDUAN KEPATUHAN &amp; MITIGASI RISIKO HUKUM</w:t>
      </w:r>
    </w:p>
    <w:p>
      <w:pPr>
        <w:spacing w:before="0" w:after="80"/>
      </w:pPr>
    </w:p>
    <w:p>
      <w:pPr>
        <w:spacing w:before="0" w:after="80" w:line="276" w:lineRule="auto"/>
      </w:pPr>
      <w:r>
        <w:rPr>
          <w:rFonts w:ascii="Arial" w:hAnsi="Arial"/>
          <w:color w:val="1E293B"/>
          <w:sz w:val="20"/>
        </w:rPr>
        <w:t>1. **Pemisahan Aset &amp; Pencatatan Akuntansi:** Korporasi wajib memisahkan rekening operasional dengan titipan pihak ketiga untuk mencegah tuduhan delik penggelapan (*commingling of funds*).</w:t>
      </w:r>
    </w:p>
    <w:p>
      <w:pPr>
        <w:spacing w:before="0" w:after="80" w:line="276" w:lineRule="auto"/>
      </w:pPr>
      <w:r>
        <w:rPr>
          <w:rFonts w:ascii="Arial" w:hAnsi="Arial"/>
          <w:color w:val="1E293B"/>
          <w:sz w:val="20"/>
        </w:rPr>
        <w:t>2. **Uji Tuntas (*Due Diligence*) Kontrak:** Pastikan klausul perjanjian menegaskan batas hak penguasaan barang/dana, hak retensi yang sah, dan pelarangan pemindahtanganan tanpa persetujuan tertulis guna memitigasi risiko pembelaan "sengketa perdata".</w:t>
      </w:r>
    </w:p>
    <w:p>
      <w:pPr>
        <w:spacing w:before="0" w:after="80" w:line="276" w:lineRule="auto"/>
      </w:pPr>
      <w:r>
        <w:rPr>
          <w:rFonts w:ascii="Arial" w:hAnsi="Arial"/>
          <w:color w:val="1E293B"/>
          <w:sz w:val="20"/>
        </w:rPr>
        <w:t>3. **Audit Investigatif:** Pelaporan pidana ke pihak kepolisian (SPKT) harus didukung bukti permulaan yang cukup (*prima facie evidence*), berupa jejak transaksi bank, surat penegasan/somasi, dan dokumentasi kebohongan awal (untuk Pasal 378) atau bukti penolakan pengembalian aset milik orang lain (untuk Pasal 372).</w:t>
      </w:r>
    </w:p>
    <w:p>
      <w:pPr>
        <w:spacing w:before="280" w:after="120"/>
      </w:pPr>
      <w:r>
        <w:rPr>
          <w:rFonts w:ascii="Arial" w:hAnsi="Arial"/>
          <w:b/>
          <w:color w:val="B45309"/>
          <w:sz w:val="24"/>
        </w:rPr>
        <w:t>2. Parallel Statutory Analysis &amp; Translation (Mandarin Chinese (中文))</w:t>
      </w:r>
    </w:p>
    <w:p>
      <w:pPr>
        <w:spacing w:before="160" w:after="80" w:line="276" w:lineRule="auto"/>
      </w:pPr>
      <w:r>
        <w:rPr>
          <w:rFonts w:ascii="Arial" w:hAnsi="Arial"/>
          <w:b/>
          <w:color w:val="0F172A"/>
          <w:sz w:val="21"/>
        </w:rPr>
        <w:t>LEGAL ANALYSIS &amp; STATUTORY PROVISIONS (MANDARIN CHINESE (中文))</w:t>
      </w:r>
    </w:p>
    <w:p>
      <w:pPr>
        <w:spacing w:before="0" w:after="80"/>
      </w:pPr>
    </w:p>
    <w:p>
      <w:pPr>
        <w:spacing w:before="0" w:after="80" w:line="276" w:lineRule="auto"/>
      </w:pPr>
      <w:r>
        <w:rPr>
          <w:rFonts w:ascii="Arial" w:hAnsi="Arial"/>
          <w:color w:val="1E293B"/>
          <w:sz w:val="20"/>
        </w:rPr>
        <w:t>诈骗罪（*Oplichting*）与侵占罪（*Verduistering*）均属于印尼刑法典中针对财产权益的犯罪（*Vermogensdelicten*）。相关法定罪状规范于现行《印尼刑法典》（KUHP，源自荷属东印度群岛刑法典/1946年第1号法律），并已在《印尼2023年第1号法律》（新国家刑法典）中完成了条文现代化修订。</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一、 《印尼刑法典》第378条：诈骗罪 (*OPLICHTING*)</w:t>
      </w:r>
    </w:p>
    <w:p>
      <w:pPr>
        <w:spacing w:before="0" w:after="80"/>
      </w:pPr>
    </w:p>
    <w:p>
      <w:pPr>
        <w:spacing w:before="0" w:after="80" w:line="276" w:lineRule="auto"/>
      </w:pPr>
      <w:r>
        <w:rPr>
          <w:rFonts w:ascii="Arial" w:hAnsi="Arial"/>
          <w:color w:val="1E293B"/>
          <w:sz w:val="20"/>
        </w:rPr>
        <w:t>**法定条文（Pasal 378 KUHP）：**</w:t>
      </w:r>
    </w:p>
    <w:p>
      <w:pPr>
        <w:spacing w:before="0" w:after="80" w:line="276" w:lineRule="auto"/>
      </w:pPr>
      <w:r>
        <w:rPr>
          <w:rFonts w:ascii="Arial" w:hAnsi="Arial"/>
          <w:color w:val="1E293B"/>
          <w:sz w:val="20"/>
        </w:rPr>
        <w:t>&gt; *“任何人意图为自己或他人谋取非法利益，使用假冒姓名、虚构身份资格，或利用诡计以及一系列谎言，诱使他人向其交付财物，或使其承担债务、免除债权的，构成诈骗罪，处最高四年有期徒刑。”*</w:t>
      </w:r>
    </w:p>
    <w:p>
      <w:pPr>
        <w:spacing w:before="0" w:after="80"/>
      </w:pPr>
    </w:p>
    <w:p>
      <w:pPr>
        <w:spacing w:before="0" w:after="80" w:line="276" w:lineRule="auto"/>
      </w:pPr>
      <w:r>
        <w:rPr>
          <w:rFonts w:ascii="Arial" w:hAnsi="Arial"/>
          <w:color w:val="1E293B"/>
          <w:sz w:val="20"/>
        </w:rPr>
        <w:t>**构成要件解析：**</w:t>
      </w:r>
    </w:p>
    <w:p>
      <w:pPr>
        <w:spacing w:before="0" w:after="80" w:line="276" w:lineRule="auto"/>
      </w:pPr>
      <w:r>
        <w:rPr>
          <w:rFonts w:ascii="Arial" w:hAnsi="Arial"/>
          <w:color w:val="1E293B"/>
          <w:sz w:val="20"/>
        </w:rPr>
        <w:t>1. **主观要件：**</w:t>
      </w:r>
    </w:p>
    <w:p>
      <w:pPr>
        <w:spacing w:before="0" w:after="80" w:line="276" w:lineRule="auto"/>
      </w:pPr>
      <w:r>
        <w:rPr>
          <w:rFonts w:ascii="Arial" w:hAnsi="Arial"/>
          <w:color w:val="1E293B"/>
          <w:sz w:val="20"/>
        </w:rPr>
        <w:t xml:space="preserve">   * **出于故意与特定目的（*met het oogmerk*）：** 行为人主观上必须具有谋取利益的直接故意。</w:t>
      </w:r>
    </w:p>
    <w:p>
      <w:pPr>
        <w:spacing w:before="0" w:after="80" w:line="276" w:lineRule="auto"/>
      </w:pPr>
      <w:r>
        <w:rPr>
          <w:rFonts w:ascii="Arial" w:hAnsi="Arial"/>
          <w:color w:val="1E293B"/>
          <w:sz w:val="20"/>
        </w:rPr>
        <w:t xml:space="preserve">   * **谋取自身或他人利益：** 旨在获取积极的财产增值。</w:t>
      </w:r>
    </w:p>
    <w:p>
      <w:pPr>
        <w:spacing w:before="0" w:after="80" w:line="276" w:lineRule="auto"/>
      </w:pPr>
      <w:r>
        <w:rPr>
          <w:rFonts w:ascii="Arial" w:hAnsi="Arial"/>
          <w:color w:val="1E293B"/>
          <w:sz w:val="20"/>
        </w:rPr>
        <w:t xml:space="preserve">   * **非法性（*wederrechtelijk*）：** 欠缺正当法律依据，侵犯他人的合法财产权。</w:t>
      </w:r>
    </w:p>
    <w:p>
      <w:pPr>
        <w:spacing w:before="0" w:after="80" w:line="276" w:lineRule="auto"/>
      </w:pPr>
      <w:r>
        <w:rPr>
          <w:rFonts w:ascii="Arial" w:hAnsi="Arial"/>
          <w:color w:val="1E293B"/>
          <w:sz w:val="20"/>
        </w:rPr>
        <w:t>2. **客观要件：**</w:t>
      </w:r>
    </w:p>
    <w:p>
      <w:pPr>
        <w:spacing w:before="0" w:after="80" w:line="276" w:lineRule="auto"/>
      </w:pPr>
      <w:r>
        <w:rPr>
          <w:rFonts w:ascii="Arial" w:hAnsi="Arial"/>
          <w:color w:val="1E293B"/>
          <w:sz w:val="20"/>
        </w:rPr>
        <w:t xml:space="preserve">   * **诱使他人（*bewegen*）：** 行为人的欺诈行为直接支配或动摇了受害人的真实意愿。</w:t>
      </w:r>
    </w:p>
    <w:p>
      <w:pPr>
        <w:spacing w:before="0" w:after="80" w:line="276" w:lineRule="auto"/>
      </w:pPr>
      <w:r>
        <w:rPr>
          <w:rFonts w:ascii="Arial" w:hAnsi="Arial"/>
          <w:color w:val="1E293B"/>
          <w:sz w:val="20"/>
        </w:rPr>
        <w:t xml:space="preserve">   * **欺诈手段（*bedrieglijke middelen*）：**</w:t>
      </w:r>
    </w:p>
    <w:p>
      <w:pPr>
        <w:spacing w:before="0" w:after="80" w:line="276" w:lineRule="auto"/>
      </w:pPr>
      <w:r>
        <w:rPr>
          <w:rFonts w:ascii="Arial" w:hAnsi="Arial"/>
          <w:color w:val="1E293B"/>
          <w:sz w:val="20"/>
        </w:rPr>
        <w:t xml:space="preserve">     * 使用假冒姓名（*valse naam*）；</w:t>
      </w:r>
    </w:p>
    <w:p>
      <w:pPr>
        <w:spacing w:before="0" w:after="80" w:line="276" w:lineRule="auto"/>
      </w:pPr>
      <w:r>
        <w:rPr>
          <w:rFonts w:ascii="Arial" w:hAnsi="Arial"/>
          <w:color w:val="1E293B"/>
          <w:sz w:val="20"/>
        </w:rPr>
        <w:t xml:space="preserve">     * 虚构身份资格/法律地位（*valse hoedanigheid*）；</w:t>
      </w:r>
    </w:p>
    <w:p>
      <w:pPr>
        <w:spacing w:before="0" w:after="80" w:line="276" w:lineRule="auto"/>
      </w:pPr>
      <w:r>
        <w:rPr>
          <w:rFonts w:ascii="Arial" w:hAnsi="Arial"/>
          <w:color w:val="1E293B"/>
          <w:sz w:val="20"/>
        </w:rPr>
        <w:t xml:space="preserve">     * 施用诡计/欺诈计谋（*listige kunstgrepen*）；</w:t>
      </w:r>
    </w:p>
    <w:p>
      <w:pPr>
        <w:spacing w:before="0" w:after="80" w:line="276" w:lineRule="auto"/>
      </w:pPr>
      <w:r>
        <w:rPr>
          <w:rFonts w:ascii="Arial" w:hAnsi="Arial"/>
          <w:color w:val="1E293B"/>
          <w:sz w:val="20"/>
        </w:rPr>
        <w:t xml:space="preserve">     * 编造一系列虚假事实/谎言链条（*samenweefsel van verdichtsels*）。</w:t>
      </w:r>
    </w:p>
    <w:p>
      <w:pPr>
        <w:spacing w:before="0" w:after="80" w:line="276" w:lineRule="auto"/>
      </w:pPr>
      <w:r>
        <w:rPr>
          <w:rFonts w:ascii="Arial" w:hAnsi="Arial"/>
          <w:color w:val="1E293B"/>
          <w:sz w:val="20"/>
        </w:rPr>
        <w:t xml:space="preserve">   * **受害人之处分行为：**</w:t>
      </w:r>
    </w:p>
    <w:p>
      <w:pPr>
        <w:spacing w:before="0" w:after="80" w:line="276" w:lineRule="auto"/>
      </w:pPr>
      <w:r>
        <w:rPr>
          <w:rFonts w:ascii="Arial" w:hAnsi="Arial"/>
          <w:color w:val="1E293B"/>
          <w:sz w:val="20"/>
        </w:rPr>
        <w:t xml:space="preserve">     * 交付财物（*afgifte van enig goed*）；</w:t>
      </w:r>
    </w:p>
    <w:p>
      <w:pPr>
        <w:spacing w:before="0" w:after="80" w:line="276" w:lineRule="auto"/>
      </w:pPr>
      <w:r>
        <w:rPr>
          <w:rFonts w:ascii="Arial" w:hAnsi="Arial"/>
          <w:color w:val="1E293B"/>
          <w:sz w:val="20"/>
        </w:rPr>
        <w:t xml:space="preserve">     * 设立/承认债务（*het aangaan van een schuld*）；或</w:t>
      </w:r>
    </w:p>
    <w:p>
      <w:pPr>
        <w:spacing w:before="0" w:after="80" w:line="276" w:lineRule="auto"/>
      </w:pPr>
      <w:r>
        <w:rPr>
          <w:rFonts w:ascii="Arial" w:hAnsi="Arial"/>
          <w:color w:val="1E293B"/>
          <w:sz w:val="20"/>
        </w:rPr>
        <w:t xml:space="preserve">     * 免除/消灭债权（*het tenietdoen van een inschuld*）。</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二、 《印尼刑法典》第372条：侵占罪 (*VERDUISTERING*)</w:t>
      </w:r>
    </w:p>
    <w:p>
      <w:pPr>
        <w:spacing w:before="0" w:after="80"/>
      </w:pPr>
    </w:p>
    <w:p>
      <w:pPr>
        <w:spacing w:before="0" w:after="80" w:line="276" w:lineRule="auto"/>
      </w:pPr>
      <w:r>
        <w:rPr>
          <w:rFonts w:ascii="Arial" w:hAnsi="Arial"/>
          <w:color w:val="1E293B"/>
          <w:sz w:val="20"/>
        </w:rPr>
        <w:t>**法定条文（Pasal 372 KUHP）：**</w:t>
      </w:r>
    </w:p>
    <w:p>
      <w:pPr>
        <w:spacing w:before="0" w:after="80" w:line="276" w:lineRule="auto"/>
      </w:pPr>
      <w:r>
        <w:rPr>
          <w:rFonts w:ascii="Arial" w:hAnsi="Arial"/>
          <w:color w:val="1E293B"/>
          <w:sz w:val="20"/>
        </w:rPr>
        <w:t xml:space="preserve">&gt; *“任何人故意且非法将全部或部分属于他人的财物据为己有，而该财物系非因犯罪行为而处于其控制占有之下的，构成侵占罪，处最高四年有期徒刑或最高九百印尼盾罚金。”*  </w:t>
      </w:r>
    </w:p>
    <w:p>
      <w:pPr>
        <w:spacing w:before="0" w:after="80" w:line="276" w:lineRule="auto"/>
      </w:pPr>
      <w:r>
        <w:rPr>
          <w:rFonts w:ascii="Arial" w:hAnsi="Arial"/>
          <w:color w:val="1E293B"/>
          <w:sz w:val="20"/>
        </w:rPr>
        <w:t>*(注：罚金数额根据印尼最高法院2012年第2号条例已调整扩大1000倍，最高上限变更为4,500,000印尼盾)。*</w:t>
      </w:r>
    </w:p>
    <w:p>
      <w:pPr>
        <w:spacing w:before="0" w:after="80"/>
      </w:pPr>
    </w:p>
    <w:p>
      <w:pPr>
        <w:spacing w:before="0" w:after="80" w:line="276" w:lineRule="auto"/>
      </w:pPr>
      <w:r>
        <w:rPr>
          <w:rFonts w:ascii="Arial" w:hAnsi="Arial"/>
          <w:color w:val="1E293B"/>
          <w:sz w:val="20"/>
        </w:rPr>
        <w:t>**构成要件解析：**</w:t>
      </w:r>
    </w:p>
    <w:p>
      <w:pPr>
        <w:spacing w:before="0" w:after="80" w:line="276" w:lineRule="auto"/>
      </w:pPr>
      <w:r>
        <w:rPr>
          <w:rFonts w:ascii="Arial" w:hAnsi="Arial"/>
          <w:color w:val="1E293B"/>
          <w:sz w:val="20"/>
        </w:rPr>
        <w:t>1. **主观要件：**</w:t>
      </w:r>
    </w:p>
    <w:p>
      <w:pPr>
        <w:spacing w:before="0" w:after="80" w:line="276" w:lineRule="auto"/>
      </w:pPr>
      <w:r>
        <w:rPr>
          <w:rFonts w:ascii="Arial" w:hAnsi="Arial"/>
          <w:color w:val="1E293B"/>
          <w:sz w:val="20"/>
        </w:rPr>
        <w:t xml:space="preserve">   * **故意（*opzettelijk*）：** 明确意识到该财物归他人所有，并意图以所有权人自居行使处分权。</w:t>
      </w:r>
    </w:p>
    <w:p>
      <w:pPr>
        <w:spacing w:before="0" w:after="80" w:line="276" w:lineRule="auto"/>
      </w:pPr>
      <w:r>
        <w:rPr>
          <w:rFonts w:ascii="Arial" w:hAnsi="Arial"/>
          <w:color w:val="1E293B"/>
          <w:sz w:val="20"/>
        </w:rPr>
        <w:t xml:space="preserve">   * **非法性（*wederrechtelijk*）：** 无合法权利对所代管财物进行变相占有或处分。</w:t>
      </w:r>
    </w:p>
    <w:p>
      <w:pPr>
        <w:spacing w:before="0" w:after="80" w:line="276" w:lineRule="auto"/>
      </w:pPr>
      <w:r>
        <w:rPr>
          <w:rFonts w:ascii="Arial" w:hAnsi="Arial"/>
          <w:color w:val="1E293B"/>
          <w:sz w:val="20"/>
        </w:rPr>
        <w:t>2. **客观要件：**</w:t>
      </w:r>
    </w:p>
    <w:p>
      <w:pPr>
        <w:spacing w:before="0" w:after="80" w:line="276" w:lineRule="auto"/>
      </w:pPr>
      <w:r>
        <w:rPr>
          <w:rFonts w:ascii="Arial" w:hAnsi="Arial"/>
          <w:color w:val="1E293B"/>
          <w:sz w:val="20"/>
        </w:rPr>
        <w:t xml:space="preserve">   * **据为己有（*zich toeeigenen*）：** 实施了唯有合法所有权人才有权作出的实质处分（如转售、质押、消耗、隐藏或拒不归还）。</w:t>
      </w:r>
    </w:p>
    <w:p>
      <w:pPr>
        <w:spacing w:before="0" w:after="80" w:line="276" w:lineRule="auto"/>
      </w:pPr>
      <w:r>
        <w:rPr>
          <w:rFonts w:ascii="Arial" w:hAnsi="Arial"/>
          <w:color w:val="1E293B"/>
          <w:sz w:val="20"/>
        </w:rPr>
        <w:t xml:space="preserve">   * **财物客体（*enig goed*）：** 具有经济价值的有体物或无体物。</w:t>
      </w:r>
    </w:p>
    <w:p>
      <w:pPr>
        <w:spacing w:before="0" w:after="80" w:line="276" w:lineRule="auto"/>
      </w:pPr>
      <w:r>
        <w:rPr>
          <w:rFonts w:ascii="Arial" w:hAnsi="Arial"/>
          <w:color w:val="1E293B"/>
          <w:sz w:val="20"/>
        </w:rPr>
        <w:t xml:space="preserve">   * **全部或部分属于他人所有。**</w:t>
      </w:r>
    </w:p>
    <w:p>
      <w:pPr>
        <w:spacing w:before="0" w:after="80" w:line="276" w:lineRule="auto"/>
      </w:pPr>
      <w:r>
        <w:rPr>
          <w:rFonts w:ascii="Arial" w:hAnsi="Arial"/>
          <w:color w:val="1E293B"/>
          <w:sz w:val="20"/>
        </w:rPr>
        <w:t xml:space="preserve">   * **非因犯罪行为而合法占有（*anders dan door misdrijf onder zich hebben*）：** 行为人在产生不法所有意图之前，已基于合法法律关系（如寄托、租赁、劳动合同、委托代理授权）合法占有该财物。</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三、 诈骗罪与侵占罪的核心法律界限（对比分析）</w:t>
      </w:r>
    </w:p>
    <w:p>
      <w:pPr>
        <w:spacing w:before="0" w:after="80"/>
      </w:pPr>
    </w:p>
    <w:p>
      <w:pPr>
        <w:spacing w:before="0" w:after="80" w:line="276" w:lineRule="auto"/>
      </w:pPr>
      <w:r>
        <w:rPr>
          <w:rFonts w:ascii="Arial" w:hAnsi="Arial"/>
          <w:b/>
          <w:color w:val="0F172A"/>
          <w:sz w:val="21"/>
        </w:rPr>
        <w:t>| 法律对比维度 | 诈骗罪（KUHP 第378条） | 侵占罪（KUHP 第372条） |</w:t>
      </w:r>
    </w:p>
    <w:p>
      <w:pPr>
        <w:spacing w:before="0" w:after="80" w:line="276" w:lineRule="auto"/>
      </w:pPr>
      <w:r>
        <w:rPr>
          <w:rFonts w:ascii="Arial" w:hAnsi="Arial"/>
          <w:color w:val="1E293B"/>
          <w:sz w:val="20"/>
        </w:rPr>
        <w:t>| :--- | :--- | :--- |</w:t>
      </w:r>
    </w:p>
    <w:p>
      <w:pPr>
        <w:spacing w:before="0" w:after="80" w:line="276" w:lineRule="auto"/>
      </w:pPr>
      <w:r>
        <w:rPr>
          <w:rFonts w:ascii="Arial" w:hAnsi="Arial"/>
          <w:color w:val="1E293B"/>
          <w:sz w:val="20"/>
        </w:rPr>
        <w:t>| **财物转移起因** | 财物脱离受害人控制，是**直接由行为人的欺骗手段或诱导谎言所致**。 | 财物在行为人产生不法意图之前，**已经合法且和平地处于行为人占有之下**。 |</w:t>
      </w:r>
    </w:p>
    <w:p>
      <w:pPr>
        <w:spacing w:before="0" w:after="80" w:line="276" w:lineRule="auto"/>
      </w:pPr>
      <w:r>
        <w:rPr>
          <w:rFonts w:ascii="Arial" w:hAnsi="Arial"/>
          <w:color w:val="1E293B"/>
          <w:sz w:val="20"/>
        </w:rPr>
        <w:t>| **因果关系路径** | 欺诈手段与受害人处分/交付财物之间具有直接因果关系。 | 初始交付完全合法（基于保管/委托/租赁等契约），不存在初始欺诈。 |</w:t>
      </w:r>
    </w:p>
    <w:p>
      <w:pPr>
        <w:spacing w:before="0" w:after="80" w:line="276" w:lineRule="auto"/>
      </w:pPr>
      <w:r>
        <w:rPr>
          <w:rFonts w:ascii="Arial" w:hAnsi="Arial"/>
          <w:color w:val="1E293B"/>
          <w:sz w:val="20"/>
        </w:rPr>
        <w:t>| **犯意产生时间 (*Mens Rea*)** | 犯意产生于财物交付**之前或交付实施之时**。 | 犯意产生于合法取得财物**之后**。 |</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四、 刑事犯罪与民事违约（*WANPRESTASI*）的司法界分</w:t>
      </w:r>
    </w:p>
    <w:p>
      <w:pPr>
        <w:spacing w:before="0" w:after="80"/>
      </w:pPr>
    </w:p>
    <w:p>
      <w:pPr>
        <w:spacing w:before="0" w:after="80" w:line="276" w:lineRule="auto"/>
      </w:pPr>
      <w:r>
        <w:rPr>
          <w:rFonts w:ascii="Arial" w:hAnsi="Arial"/>
          <w:color w:val="1E293B"/>
          <w:sz w:val="20"/>
        </w:rPr>
        <w:t>在印尼商业与投资纠纷中，当事人常借助第378条或第372条提起刑事报案以施加清偿压力。根据**印尼最高法院判例规则（如第1606 K/Pid/1986号、第449 K/Pid/2001号判决等）**：</w:t>
      </w:r>
    </w:p>
    <w:p>
      <w:pPr>
        <w:spacing w:before="0" w:after="80" w:line="276" w:lineRule="auto"/>
      </w:pPr>
      <w:r>
        <w:rPr>
          <w:rFonts w:ascii="Arial" w:hAnsi="Arial"/>
          <w:color w:val="1E293B"/>
          <w:sz w:val="20"/>
        </w:rPr>
        <w:t>1. 若当事人之间的权利义务源自真实、合法的民商事合同，仅因事后履约障碍、商业风险或财务恶化导致未能履行给付义务，且行为人未在一开始使用欺诈手段的，纯属**民事违约行为（Wanprestasi）**，应受《印尼民法典》（KUHPerdata）第1243条调整，不得按刑事犯罪论处。</w:t>
      </w:r>
    </w:p>
    <w:p>
      <w:pPr>
        <w:spacing w:before="0" w:after="80" w:line="276" w:lineRule="auto"/>
      </w:pPr>
      <w:r>
        <w:rPr>
          <w:rFonts w:ascii="Arial" w:hAnsi="Arial"/>
          <w:color w:val="1E293B"/>
          <w:sz w:val="20"/>
        </w:rPr>
        <w:t>2. **诈骗罪（第378条）**的认定关键在于：控方必须充分证明在订立合同或受让资金**之前**，行为人即已编造了虚假资质、虚构交易背景或使用假冒身份，欺诈诱导是导致交付的根本动因。</w:t>
      </w:r>
    </w:p>
    <w:p>
      <w:pPr>
        <w:spacing w:before="0" w:after="80" w:line="276" w:lineRule="auto"/>
      </w:pPr>
      <w:r>
        <w:rPr>
          <w:rFonts w:ascii="Arial" w:hAnsi="Arial"/>
          <w:color w:val="1E293B"/>
          <w:sz w:val="20"/>
        </w:rPr>
        <w:t>3. **侵占罪（第372条）**的认定关键在于：合法取得具有专项用途的款项或资产后，违背委托目的将其非法转作私人利益、挥霍或隐匿拒绝返还。</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五、 《印尼2023年第1号法律》（新刑法典）的衔接适用</w:t>
      </w:r>
    </w:p>
    <w:p>
      <w:pPr>
        <w:spacing w:before="0" w:after="80"/>
      </w:pPr>
    </w:p>
    <w:p>
      <w:pPr>
        <w:spacing w:before="0" w:after="80" w:line="276" w:lineRule="auto"/>
      </w:pPr>
      <w:r>
        <w:rPr>
          <w:rFonts w:ascii="Arial" w:hAnsi="Arial"/>
          <w:color w:val="1E293B"/>
          <w:sz w:val="20"/>
        </w:rPr>
        <w:t>印尼刑事法律改革（将于2026年1月全面施行）中，相关条文进行了重编与罚金档位更新：</w:t>
      </w:r>
    </w:p>
    <w:p>
      <w:pPr>
        <w:spacing w:before="0" w:after="80" w:line="276" w:lineRule="auto"/>
      </w:pPr>
      <w:r>
        <w:rPr>
          <w:rFonts w:ascii="Arial" w:hAnsi="Arial"/>
          <w:b/>
          <w:color w:val="0F172A"/>
          <w:sz w:val="21"/>
        </w:rPr>
        <w:t>* **诈骗罪：** 对应转入**《2023年第1号法律》第492条**，法定刑为最高4年有期徒刑或第V档罚金（最高500,000,000印尼盾）。</w:t>
      </w:r>
    </w:p>
    <w:p>
      <w:pPr>
        <w:spacing w:before="0" w:after="80" w:line="276" w:lineRule="auto"/>
      </w:pPr>
      <w:r>
        <w:rPr>
          <w:rFonts w:ascii="Arial" w:hAnsi="Arial"/>
          <w:b/>
          <w:color w:val="0F172A"/>
          <w:sz w:val="21"/>
        </w:rPr>
        <w:t>* **侵占罪：** 对应转入**《2023年第1号法律》第486条**，法定刑为最高4年有期徒刑或第IV档罚金（最高200,000,000印尼盾）。</w:t>
      </w:r>
    </w:p>
    <w:p>
      <w:pPr>
        <w:spacing w:before="0" w:after="80" w:line="276" w:lineRule="auto"/>
      </w:pPr>
      <w:r>
        <w:rPr>
          <w:rFonts w:ascii="Arial" w:hAnsi="Arial"/>
          <w:color w:val="1E293B"/>
          <w:sz w:val="20"/>
        </w:rPr>
        <w:t>* 原现行刑法典第374条之**职务侵占罪**，已统一整合进**新法第488条**，法定最高刑提升至5年有期徒刑。</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六、 企业合规指引与风险防范</w:t>
      </w:r>
    </w:p>
    <w:p>
      <w:pPr>
        <w:spacing w:before="0" w:after="80"/>
      </w:pPr>
    </w:p>
    <w:p>
      <w:pPr>
        <w:spacing w:before="0" w:after="80" w:line="276" w:lineRule="auto"/>
      </w:pPr>
      <w:r>
        <w:rPr>
          <w:rFonts w:ascii="Arial" w:hAnsi="Arial"/>
          <w:color w:val="1E293B"/>
          <w:sz w:val="20"/>
        </w:rPr>
        <w:t>1. **资产独立性与财务隔离：** 企业受托管理第三方资产或设立项目共管账户时，应严格建立独立核算台账，坚决杜绝资金混同（*commingling of funds*），避免被指控职务侵占。</w:t>
      </w:r>
    </w:p>
    <w:p>
      <w:pPr>
        <w:spacing w:before="0" w:after="80" w:line="276" w:lineRule="auto"/>
      </w:pPr>
      <w:r>
        <w:rPr>
          <w:rFonts w:ascii="Arial" w:hAnsi="Arial"/>
          <w:color w:val="1E293B"/>
          <w:sz w:val="20"/>
        </w:rPr>
        <w:t>2. **合同审查与证据固定：** 商业合同中应明确界定财物控制权的性质、约定款项专项用途、明晰合法留置权边界，并要求未经书面同意不得挪用，以防在违约纠纷中被恶意抗辩为不可抗力的纯民事争议。</w:t>
      </w:r>
    </w:p>
    <w:p>
      <w:pPr>
        <w:spacing w:before="0" w:after="80" w:line="276" w:lineRule="auto"/>
      </w:pPr>
      <w:r>
        <w:rPr>
          <w:rFonts w:ascii="Arial" w:hAnsi="Arial"/>
          <w:color w:val="1E293B"/>
          <w:sz w:val="20"/>
        </w:rPr>
        <w:t>3. **刑民交叉案件的报案取证要求：** 如遭遇侵害需向警方综合报案中心（SPKT）提出刑事控告，应先行固定确凿的表面证据（*prima facie evidence*），包括银行流水轨迹、正式催告函（*Somasi*）、缔约阶段的虚假陈述记录（用于锁定第378条），或拒不返还受托财产的明确证据链（用于锁定第372条）。</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