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"Pasal 378 dan 372 KUHP Tindak Pidana Penipuan dan Penggelapan"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**Dasar Hukum Positif Indonesia:**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Kitab Undang-Undang Hukum Perdata (KUHPerdata) Pasal 1320 (Syarat Sah Perjanjian) dan Pasal 1338 (Pacta Sunt Servanda).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Undang-Undang No. 40 Tahun 2007 tentang Perseroan Terbatas dan Peraturan Pemerintah No. 5 Tahun 2021 tentang OSS-RBA.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**Uraian Ketentuan Pokok:**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Berdasarkan sistem hukum Indonesia, setiap perbuatan hukum, perjanjian komersial, maupun kepatuhan perizinan berusaha wajib didasarkan pada peraturan perundang-undangan tertulis yang berlaku dan dilaksanakan dengan itikad baik.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**Pasal Terkait:**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 **Pasal 1320 KUHPerdata:** Empat syarat sahnya perjanjian: kesepakatan para pihak, kecakapan bertindak, objek tertentu, dan kausa yang halal.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 **Pasal 1338 KUHPerdata:** Semua perjanjian yang dibuat secara sah berlaku sebagai undang-undang bagi mereka yang membuatnya.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**Rekomendasi Praktis Kepatuhan:**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Pastikan seluruh klausul kontrak dirumuskan secara tertulis, jelas, dan memenuhi asas legalitas hukum Indonesia guna menjamin kepastian hukum dan menghindari sengketa perdata.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**Indonesian Statutory Basis:**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Indonesian Civil Code (KUHPerdata) Article 1320 (Contract Validity Conditions) and Article 1338 (Pacta Sunt Servanda).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Law No. 40 of 2007 on Limited Liability Companies and Government Regulation No. 5 of 2021 on OSS-RBA Licensing.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**Key Legal Provisions &amp; Principles:**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Under the Indonesian Civil Law framework, all commercial transactions, contractual obligations, and statutory licensing must strictly comply with codified legislation and be performed in good faith.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**Relevant Statutory Articles:**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 **Article 1320 Civil Code:** Four validity conditions: mutual consent of the parties, legal capacity, a certain/determinate object, and a lawful cause.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 **Article 1338 Civil Code:** All agreements lawfully formed apply as binding statutory law for those who make them.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**Practical Compliance Guidance:**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Ensure all commercial agreements and compliance filings are documented with unambiguous bilateral clauses, fulfilling Indonesian statutory prerequisites to maximize legal certainty and mitigate dispute risks.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