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378 dan 372 KUHP Tindak Pidana Penipuan dan Penggelapan"</w:t>
      </w:r>
    </w:p>
    <w:p>
      <w:pPr>
        <w:spacing w:before="0" w:after="360"/>
        <w:jc w:val="center"/>
      </w:pPr>
      <w:r>
        <w:rPr>
          <w:rFonts w:ascii="Arial" w:hAnsi="Arial"/>
          <w:color w:val="64748B"/>
          <w:sz w:val="17"/>
        </w:rPr>
        <w:t>CATEGORY: CORPORATE &amp; INVESTMENT | DUAL LANGUAGE: ID ↔ ENGLISH | 02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I. Dasar Hukum Positif</w:t>
      </w:r>
    </w:p>
    <w:p>
      <w:pPr>
        <w:spacing w:before="0" w:after="80" w:line="276" w:lineRule="auto"/>
      </w:pPr>
      <w:r>
        <w:rPr>
          <w:rFonts w:ascii="Arial" w:hAnsi="Arial"/>
          <w:color w:val="1E293B"/>
          <w:sz w:val="20"/>
        </w:rPr>
        <w:t xml:space="preserve">Kitab Undang-Undang Hukum Pidana (KUHP) yang bersumber dari *Wetboek van Strafrecht voor Nederlandsch-Indië* (disahkan melalui UU No. 1 Tahun 1946 jo. UU No. 73 Tahun 1958) mengatur tindak pidana materiil mengenai Penipuan (*Oplichting*) dan Penggelapan (*Verduistering*). </w:t>
      </w:r>
    </w:p>
    <w:p>
      <w:pPr>
        <w:spacing w:before="0" w:after="80"/>
      </w:pPr>
    </w:p>
    <w:p>
      <w:pPr>
        <w:spacing w:before="0" w:after="80" w:line="276" w:lineRule="auto"/>
      </w:pPr>
      <w:r>
        <w:rPr>
          <w:rFonts w:ascii="Arial" w:hAnsi="Arial"/>
          <w:color w:val="1E293B"/>
          <w:sz w:val="20"/>
        </w:rPr>
        <w:t>*(Catatan Transisi: Berdasarkan UU No. 1 Tahun 2023 tentang KUHP Nasional yang berlaku efektif 2 Januari 2026, tindak pidana Penggelapan diatur dalam Pasal 486 dan Penipuan diatur dalam Pasal 492).*</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II. Bunyi dan Unsur-Unsur Yuridis Pasal</w:t>
      </w:r>
    </w:p>
    <w:p>
      <w:pPr>
        <w:spacing w:before="0" w:after="80"/>
      </w:pPr>
    </w:p>
    <w:p>
      <w:pPr>
        <w:spacing w:before="160" w:after="80" w:line="276" w:lineRule="auto"/>
      </w:pPr>
      <w:r>
        <w:rPr>
          <w:rFonts w:ascii="Arial" w:hAnsi="Arial"/>
          <w:b/>
          <w:color w:val="0F172A"/>
          <w:sz w:val="21"/>
        </w:rPr>
        <w:t>##### 1. Pasal 378 KUHP (Tindak Pidana Penipuan)</w:t>
      </w:r>
    </w:p>
    <w:p>
      <w:pPr>
        <w:spacing w:before="0" w:after="80" w:line="276" w:lineRule="auto"/>
      </w:pPr>
      <w:r>
        <w:rPr>
          <w:rFonts w:ascii="Arial" w:hAnsi="Arial"/>
          <w:color w:val="1E293B"/>
          <w:sz w:val="20"/>
        </w:rPr>
        <w:t>&gt; *"Barang siapa dengan maksud untuk menguntungkan diri sendiri atau orang lain secara melawan hukum, dengan memakai nama palsu atau martabat (hoedanigheid) palsu, dengan tipu muslihat, ataupun rangkaian kebohongan, menggerakkan orang lain untuk menyerahkan barang sesuatu kepadanya, atau supaya memberi utang maupun menghapuskan piutang, diancam karena penipuan dengan pidana penjara paling lama empat tahun."*</w:t>
      </w:r>
    </w:p>
    <w:p>
      <w:pPr>
        <w:spacing w:before="0" w:after="80"/>
      </w:pPr>
    </w:p>
    <w:p>
      <w:pPr>
        <w:spacing w:before="0" w:after="80" w:line="276" w:lineRule="auto"/>
      </w:pPr>
      <w:r>
        <w:rPr>
          <w:rFonts w:ascii="Arial" w:hAnsi="Arial"/>
          <w:color w:val="1E293B"/>
          <w:sz w:val="20"/>
        </w:rPr>
        <w:t>* **Unsur Subjektif:**</w:t>
      </w:r>
    </w:p>
    <w:p>
      <w:pPr>
        <w:spacing w:before="0" w:after="80" w:line="276" w:lineRule="auto"/>
      </w:pPr>
      <w:r>
        <w:rPr>
          <w:rFonts w:ascii="Arial" w:hAnsi="Arial"/>
          <w:color w:val="1E293B"/>
          <w:sz w:val="20"/>
        </w:rPr>
        <w:t xml:space="preserve">  1. Dengan maksud (*oogmerk*);</w:t>
      </w:r>
    </w:p>
    <w:p>
      <w:pPr>
        <w:spacing w:before="0" w:after="80" w:line="276" w:lineRule="auto"/>
      </w:pPr>
      <w:r>
        <w:rPr>
          <w:rFonts w:ascii="Arial" w:hAnsi="Arial"/>
          <w:color w:val="1E293B"/>
          <w:sz w:val="20"/>
        </w:rPr>
        <w:t xml:space="preserve">  2. Untuk menguntungkan diri sendiri atau orang lain (*om zich of een ander te bevoordelen*);</w:t>
      </w:r>
    </w:p>
    <w:p>
      <w:pPr>
        <w:spacing w:before="0" w:after="80" w:line="276" w:lineRule="auto"/>
      </w:pPr>
      <w:r>
        <w:rPr>
          <w:rFonts w:ascii="Arial" w:hAnsi="Arial"/>
          <w:color w:val="1E293B"/>
          <w:sz w:val="20"/>
        </w:rPr>
        <w:t xml:space="preserve">  3. Secara melawan hukum (*wederrechtelijk*).</w:t>
      </w:r>
    </w:p>
    <w:p>
      <w:pPr>
        <w:spacing w:before="0" w:after="80"/>
      </w:pPr>
    </w:p>
    <w:p>
      <w:pPr>
        <w:spacing w:before="0" w:after="80" w:line="276" w:lineRule="auto"/>
      </w:pPr>
      <w:r>
        <w:rPr>
          <w:rFonts w:ascii="Arial" w:hAnsi="Arial"/>
          <w:color w:val="1E293B"/>
          <w:sz w:val="20"/>
        </w:rPr>
        <w:t>* **Unsur Objektif:**</w:t>
      </w:r>
    </w:p>
    <w:p>
      <w:pPr>
        <w:spacing w:before="0" w:after="80" w:line="276" w:lineRule="auto"/>
      </w:pPr>
      <w:r>
        <w:rPr>
          <w:rFonts w:ascii="Arial" w:hAnsi="Arial"/>
          <w:color w:val="1E293B"/>
          <w:sz w:val="20"/>
        </w:rPr>
        <w:t xml:space="preserve">  1. Perbuatan: Menggerakkan orang lain (*beweegt*);</w:t>
      </w:r>
    </w:p>
    <w:p>
      <w:pPr>
        <w:spacing w:before="0" w:after="80" w:line="276" w:lineRule="auto"/>
      </w:pPr>
      <w:r>
        <w:rPr>
          <w:rFonts w:ascii="Arial" w:hAnsi="Arial"/>
          <w:color w:val="1E293B"/>
          <w:sz w:val="20"/>
        </w:rPr>
        <w:t xml:space="preserve">  2. Objek yang digerakkan: Untuk menyerahkan suatu barang, memberi utang, atau menghapuskan piutang;</w:t>
      </w:r>
    </w:p>
    <w:p>
      <w:pPr>
        <w:spacing w:before="0" w:after="80" w:line="276" w:lineRule="auto"/>
      </w:pPr>
      <w:r>
        <w:rPr>
          <w:rFonts w:ascii="Arial" w:hAnsi="Arial"/>
          <w:color w:val="1E293B"/>
          <w:sz w:val="20"/>
        </w:rPr>
        <w:t xml:space="preserve">  3. Sarana penggerak (alat penipu / *oplichtingsmiddelen*):</w:t>
      </w:r>
    </w:p>
    <w:p>
      <w:pPr>
        <w:spacing w:before="0" w:after="80" w:line="276" w:lineRule="auto"/>
      </w:pPr>
      <w:r>
        <w:rPr>
          <w:rFonts w:ascii="Arial" w:hAnsi="Arial"/>
          <w:color w:val="1E293B"/>
          <w:sz w:val="20"/>
        </w:rPr>
        <w:t xml:space="preserve">     * Menggunakan nama palsu;</w:t>
      </w:r>
    </w:p>
    <w:p>
      <w:pPr>
        <w:spacing w:before="0" w:after="80" w:line="276" w:lineRule="auto"/>
      </w:pPr>
      <w:r>
        <w:rPr>
          <w:rFonts w:ascii="Arial" w:hAnsi="Arial"/>
          <w:color w:val="1E293B"/>
          <w:sz w:val="20"/>
        </w:rPr>
        <w:t xml:space="preserve">     * Menggunakan martabat/keadaan palsu (*valsche hoedanigheid*);</w:t>
      </w:r>
    </w:p>
    <w:p>
      <w:pPr>
        <w:spacing w:before="0" w:after="80" w:line="276" w:lineRule="auto"/>
      </w:pPr>
      <w:r>
        <w:rPr>
          <w:rFonts w:ascii="Arial" w:hAnsi="Arial"/>
          <w:color w:val="1E293B"/>
          <w:sz w:val="20"/>
        </w:rPr>
        <w:t xml:space="preserve">     * Menggunakan tipu muslihat (*listige kunstgrepen*); atau</w:t>
      </w:r>
    </w:p>
    <w:p>
      <w:pPr>
        <w:spacing w:before="0" w:after="80" w:line="276" w:lineRule="auto"/>
      </w:pPr>
      <w:r>
        <w:rPr>
          <w:rFonts w:ascii="Arial" w:hAnsi="Arial"/>
          <w:color w:val="1E293B"/>
          <w:sz w:val="20"/>
        </w:rPr>
        <w:t xml:space="preserve">     * Menggunakan rangkaian kebohongan (*samenweefsel van verdichtsels*).</w:t>
      </w:r>
    </w:p>
    <w:p>
      <w:pPr>
        <w:spacing w:before="0" w:after="80"/>
      </w:pPr>
    </w:p>
    <w:p>
      <w:pPr>
        <w:spacing w:before="160" w:after="80" w:line="276" w:lineRule="auto"/>
      </w:pPr>
      <w:r>
        <w:rPr>
          <w:rFonts w:ascii="Arial" w:hAnsi="Arial"/>
          <w:b/>
          <w:color w:val="0F172A"/>
          <w:sz w:val="21"/>
        </w:rPr>
        <w:t>##### 2. Pasal 372 KUHP (Tindak Pidana Penggelapan)</w:t>
      </w:r>
    </w:p>
    <w:p>
      <w:pPr>
        <w:spacing w:before="0" w:after="80" w:line="276" w:lineRule="auto"/>
      </w:pPr>
      <w:r>
        <w:rPr>
          <w:rFonts w:ascii="Arial" w:hAnsi="Arial"/>
          <w:color w:val="1E293B"/>
          <w:sz w:val="20"/>
        </w:rPr>
        <w:t>&gt; *"Barang siapa dengan sengaja dan melawan hukum memiliki barang sesuatu yang seluruhnya atau sebagian adalah kepunyaan orang lain, tetapi yang ada dalam kekuasaannya bukan karena kejahatan, diancam karena penggelapan, dengan pidana penjara paling lama empat tahun atau pidana denda paling banyak sembilan ratus rupiah."* *(Penyesuaian denda berdasarkan Perma No. 2 Tahun 2012 dilipatgandakan 1.000 kali).*</w:t>
      </w:r>
    </w:p>
    <w:p>
      <w:pPr>
        <w:spacing w:before="0" w:after="80"/>
      </w:pPr>
    </w:p>
    <w:p>
      <w:pPr>
        <w:spacing w:before="0" w:after="80" w:line="276" w:lineRule="auto"/>
      </w:pPr>
      <w:r>
        <w:rPr>
          <w:rFonts w:ascii="Arial" w:hAnsi="Arial"/>
          <w:color w:val="1E293B"/>
          <w:sz w:val="20"/>
        </w:rPr>
        <w:t>* **Unsur Subjektif:**</w:t>
      </w:r>
    </w:p>
    <w:p>
      <w:pPr>
        <w:spacing w:before="0" w:after="80" w:line="276" w:lineRule="auto"/>
      </w:pPr>
      <w:r>
        <w:rPr>
          <w:rFonts w:ascii="Arial" w:hAnsi="Arial"/>
          <w:color w:val="1E293B"/>
          <w:sz w:val="20"/>
        </w:rPr>
        <w:t xml:space="preserve">  1. Dengan sengaja (*opzettelijk*);</w:t>
      </w:r>
    </w:p>
    <w:p>
      <w:pPr>
        <w:spacing w:before="0" w:after="80" w:line="276" w:lineRule="auto"/>
      </w:pPr>
      <w:r>
        <w:rPr>
          <w:rFonts w:ascii="Arial" w:hAnsi="Arial"/>
          <w:color w:val="1E293B"/>
          <w:sz w:val="20"/>
        </w:rPr>
        <w:t xml:space="preserve">  2. Melawan hukum (*wederrechtelijk*).</w:t>
      </w:r>
    </w:p>
    <w:p>
      <w:pPr>
        <w:spacing w:before="0" w:after="80"/>
      </w:pPr>
    </w:p>
    <w:p>
      <w:pPr>
        <w:spacing w:before="0" w:after="80" w:line="276" w:lineRule="auto"/>
      </w:pPr>
      <w:r>
        <w:rPr>
          <w:rFonts w:ascii="Arial" w:hAnsi="Arial"/>
          <w:color w:val="1E293B"/>
          <w:sz w:val="20"/>
        </w:rPr>
        <w:t>* **Unsur Objektif:**</w:t>
      </w:r>
    </w:p>
    <w:p>
      <w:pPr>
        <w:spacing w:before="0" w:after="80" w:line="276" w:lineRule="auto"/>
      </w:pPr>
      <w:r>
        <w:rPr>
          <w:rFonts w:ascii="Arial" w:hAnsi="Arial"/>
          <w:color w:val="1E293B"/>
          <w:sz w:val="20"/>
        </w:rPr>
        <w:t xml:space="preserve">  1. Perbuatan: Mengaku sebagai milik sendiri / menguasai untuk diri sendiri (*zich wederrechtelijk toe-eigent*);</w:t>
      </w:r>
    </w:p>
    <w:p>
      <w:pPr>
        <w:spacing w:before="0" w:after="80" w:line="276" w:lineRule="auto"/>
      </w:pPr>
      <w:r>
        <w:rPr>
          <w:rFonts w:ascii="Arial" w:hAnsi="Arial"/>
          <w:color w:val="1E293B"/>
          <w:sz w:val="20"/>
        </w:rPr>
        <w:t xml:space="preserve">  2. Objek: Suatu barang yang sebagian atau seluruhnya milik orang lain;</w:t>
      </w:r>
    </w:p>
    <w:p>
      <w:pPr>
        <w:spacing w:before="0" w:after="80" w:line="276" w:lineRule="auto"/>
      </w:pPr>
      <w:r>
        <w:rPr>
          <w:rFonts w:ascii="Arial" w:hAnsi="Arial"/>
          <w:color w:val="1E293B"/>
          <w:sz w:val="20"/>
        </w:rPr>
        <w:t xml:space="preserve">  3. Kualifikasi penguasaan: Barang tersebut telah berada dalam kekuasaan pelaku bukan karena tindak kejahatan (misalnya: dititipkan, disewa, atau akibat hubungan kerja).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III. Perbedaan Yuridis Fundamental (Diferensiasi Pasal 378 vs 372 KUHP)</w:t>
      </w:r>
    </w:p>
    <w:p>
      <w:pPr>
        <w:spacing w:before="0" w:after="80"/>
      </w:pPr>
    </w:p>
    <w:p>
      <w:pPr>
        <w:spacing w:before="0" w:after="80" w:line="276" w:lineRule="auto"/>
      </w:pPr>
      <w:r>
        <w:rPr>
          <w:rFonts w:ascii="Arial" w:hAnsi="Arial"/>
          <w:color w:val="1E293B"/>
          <w:sz w:val="20"/>
        </w:rPr>
        <w:t>| Parameter Pembeda | Penipuan (Pasal 378 KUHP) | Penggelapan (Pasal 372 KUHP) |</w:t>
      </w:r>
    </w:p>
    <w:p>
      <w:pPr>
        <w:spacing w:before="0" w:after="80" w:line="276" w:lineRule="auto"/>
      </w:pPr>
      <w:r>
        <w:rPr>
          <w:rFonts w:ascii="Arial" w:hAnsi="Arial"/>
          <w:color w:val="1E293B"/>
          <w:sz w:val="20"/>
        </w:rPr>
        <w:t>| :--- | :--- | :--- |</w:t>
      </w:r>
    </w:p>
    <w:p>
      <w:pPr>
        <w:spacing w:before="0" w:after="80" w:line="276" w:lineRule="auto"/>
      </w:pPr>
      <w:r>
        <w:rPr>
          <w:rFonts w:ascii="Arial" w:hAnsi="Arial"/>
          <w:color w:val="1E293B"/>
          <w:sz w:val="20"/>
        </w:rPr>
        <w:t>| **Peralihan Barang** | Barang diserahkan oleh korban akibat terpedaya oleh sarana tipu muslihat/kebohongan pelaku. | Barang sudah berada di tangan pelaku secara sah mendahului niat jahat (*mens rea*). |</w:t>
      </w:r>
    </w:p>
    <w:p>
      <w:pPr>
        <w:spacing w:before="0" w:after="80" w:line="276" w:lineRule="auto"/>
      </w:pPr>
      <w:r>
        <w:rPr>
          <w:rFonts w:ascii="Arial" w:hAnsi="Arial"/>
          <w:color w:val="1E293B"/>
          <w:sz w:val="20"/>
        </w:rPr>
        <w:t>| **Niat Jahat (*Mens Rea*)** | Muncul **sebelum** atau **pada saat** barang/keuntungan diserahkan oleh korban. | Muncul **setelah** barang berada secara sah dalam penguasaan fisik pelaku. |</w:t>
      </w:r>
    </w:p>
    <w:p>
      <w:pPr>
        <w:spacing w:before="0" w:after="80" w:line="276" w:lineRule="auto"/>
      </w:pPr>
      <w:r>
        <w:rPr>
          <w:rFonts w:ascii="Arial" w:hAnsi="Arial"/>
          <w:color w:val="1E293B"/>
          <w:sz w:val="20"/>
        </w:rPr>
        <w:t>| **Kausa Penyerahan** | Cacat kehendak akibat penyesatan (*dwaling*) melalui upaya tipu muslihat. | Hubungan hukum yang sah (misal: perjanjian titip-rawat, sewa-menyewa, kuasa kerja). |</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IV. Garis Batas Sengketa Perdata (*Wanprestasi*) dan Tindak Pidana</w:t>
      </w:r>
    </w:p>
    <w:p>
      <w:pPr>
        <w:spacing w:before="0" w:after="80"/>
      </w:pPr>
    </w:p>
    <w:p>
      <w:pPr>
        <w:spacing w:before="0" w:after="80" w:line="276" w:lineRule="auto"/>
      </w:pPr>
      <w:r>
        <w:rPr>
          <w:rFonts w:ascii="Arial" w:hAnsi="Arial"/>
          <w:color w:val="1E293B"/>
          <w:sz w:val="20"/>
        </w:rPr>
        <w:t xml:space="preserve">1. **Prinsip *Civil Trap*:** </w:t>
      </w:r>
    </w:p>
    <w:p>
      <w:pPr>
        <w:spacing w:before="0" w:after="80" w:line="276" w:lineRule="auto"/>
      </w:pPr>
      <w:r>
        <w:rPr>
          <w:rFonts w:ascii="Arial" w:hAnsi="Arial"/>
          <w:color w:val="1E293B"/>
          <w:sz w:val="20"/>
        </w:rPr>
        <w:t xml:space="preserve">   Kegagalan pemenuhan kewajiban komersial/utang-piutang pada dasarnya merupakan ranah perdata (*wanprestasi* berdasarkan Pasal 1243 KUHPerdata).</w:t>
      </w:r>
    </w:p>
    <w:p>
      <w:pPr>
        <w:spacing w:before="0" w:after="80" w:line="276" w:lineRule="auto"/>
      </w:pPr>
      <w:r>
        <w:rPr>
          <w:rFonts w:ascii="Arial" w:hAnsi="Arial"/>
          <w:color w:val="1E293B"/>
          <w:sz w:val="20"/>
        </w:rPr>
        <w:t>2. **Yurisprudensi Mahkamah Agung (Putusan MA No. 1601 K/Pid/1990 &amp; No. 449 K/Pid/2001):**</w:t>
      </w:r>
    </w:p>
    <w:p>
      <w:pPr>
        <w:spacing w:before="0" w:after="80" w:line="276" w:lineRule="auto"/>
      </w:pPr>
      <w:r>
        <w:rPr>
          <w:rFonts w:ascii="Arial" w:hAnsi="Arial"/>
          <w:color w:val="1E293B"/>
          <w:sz w:val="20"/>
        </w:rPr>
        <w:t xml:space="preserve">   * Apabila penyerahan dana/barang didasari oleh perjanjian yang sah dan iktikad baik pada saat kontrak dibuat, namun di kemudian hari salah satu pihak tidak memenuhinya, perbuatan tersebut merupakan *breach of contract* (perdata), bukan penipuan, kecuali dapat dibuktikan adanya tipu muslihat awal atau identitas palsu yang memicu penandatanganan kontrak tersebut.</w:t>
      </w:r>
    </w:p>
    <w:p>
      <w:pPr>
        <w:spacing w:before="0" w:after="80" w:line="276" w:lineRule="auto"/>
      </w:pPr>
      <w:r>
        <w:rPr>
          <w:rFonts w:ascii="Arial" w:hAnsi="Arial"/>
          <w:color w:val="1E293B"/>
          <w:sz w:val="20"/>
        </w:rPr>
        <w:t xml:space="preserve">   * Apabila barang yang dipinjamkan/disewakan secara sah kemudian dijual atau dialihkan haknya seolah-olah milik pribadi tanpa persetujuan pemilik sah, maka perbuatan tersebut langsung bertransformasi menjadi penggelapan (Pasal 372 KUHP).</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V. Panduan Kepatuhan &amp; Mitigasi Risiko Praktis</w:t>
      </w:r>
    </w:p>
    <w:p>
      <w:pPr>
        <w:spacing w:before="0" w:after="80"/>
      </w:pPr>
    </w:p>
    <w:p>
      <w:pPr>
        <w:spacing w:before="0" w:after="80" w:line="276" w:lineRule="auto"/>
      </w:pPr>
      <w:r>
        <w:rPr>
          <w:rFonts w:ascii="Arial" w:hAnsi="Arial"/>
          <w:color w:val="1E293B"/>
          <w:sz w:val="20"/>
        </w:rPr>
        <w:t>1. **Uji Tuntas (*Due Diligence*) Identitas &amp; Kapasitas:** Selalu verifikasi legalitas, kapasitas bertindak subjek hukum (*legal standing*), serta keabsahan data/dokumen sebelum melakukan penyerahan aset atau penandatanganan perjanjian komersial guna menghindari modus Pasal 378 (martabat/nama palsu).</w:t>
      </w:r>
    </w:p>
    <w:p>
      <w:pPr>
        <w:spacing w:before="0" w:after="80" w:line="276" w:lineRule="auto"/>
      </w:pPr>
      <w:r>
        <w:rPr>
          <w:rFonts w:ascii="Arial" w:hAnsi="Arial"/>
          <w:color w:val="1E293B"/>
          <w:sz w:val="20"/>
        </w:rPr>
        <w:t>2. **Klausul Klausula Penguasaan Aset yang Ketat:** Dalam perjanjian sewa-menyewa, konsinyasi, atau ketenagakerjaan, cantumkan klausul *fiduciary duty*, larangan pemindahtanganan aset tanpa izin tertulis, dan Berita Acara Serah Terima (BAST) yang jelas demi memitigasi risiko penggelapan (Pasal 372 KUHP).</w:t>
      </w:r>
    </w:p>
    <w:p>
      <w:pPr>
        <w:spacing w:before="0" w:after="80" w:line="276" w:lineRule="auto"/>
      </w:pPr>
      <w:r>
        <w:rPr>
          <w:rFonts w:ascii="Arial" w:hAnsi="Arial"/>
          <w:color w:val="1E293B"/>
          <w:sz w:val="20"/>
        </w:rPr>
        <w:t>3. **Penyimpanan Jejak Bukti Digital &amp; Korespondensi:** Dokumentasikan seluruh representasi, janji, dan mutasi barang secara tertulis guna membuktikan apakah niat jahat (*mens rea*) timbul sejak awal transaksi atau setelah penguasaan barang terjadi.</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LEGAL ANALYSIS &amp; STATUTORY PROVISIONS (ENGLISH)</w:t>
      </w:r>
    </w:p>
    <w:p>
      <w:pPr>
        <w:spacing w:before="0" w:after="80"/>
      </w:pPr>
    </w:p>
    <w:p>
      <w:pPr>
        <w:spacing w:before="160" w:after="80" w:line="276" w:lineRule="auto"/>
      </w:pPr>
      <w:r>
        <w:rPr>
          <w:rFonts w:ascii="Arial" w:hAnsi="Arial"/>
          <w:b/>
          <w:color w:val="0F172A"/>
          <w:sz w:val="21"/>
        </w:rPr>
        <w:t>#### I. Positive Statutory Framework</w:t>
      </w:r>
    </w:p>
    <w:p>
      <w:pPr>
        <w:spacing w:before="0" w:after="80" w:line="276" w:lineRule="auto"/>
      </w:pPr>
      <w:r>
        <w:rPr>
          <w:rFonts w:ascii="Arial" w:hAnsi="Arial"/>
          <w:color w:val="1E293B"/>
          <w:sz w:val="20"/>
        </w:rPr>
        <w:t>The Indonesian Criminal Code (*Kitab Undang-Undang Hukum Pidana* / KUHP), originating from the *Wetboek van Strafrecht voor Nederlandsch-Indië* (promulgated via Law No. 1 of 1946 in conjunction with Law No. 73 of 1958), governs the substantive criminal offenses of Fraud (*Oplichting*) and Embezzlement (*Verduistering*).</w:t>
      </w:r>
    </w:p>
    <w:p>
      <w:pPr>
        <w:spacing w:before="0" w:after="80"/>
      </w:pPr>
    </w:p>
    <w:p>
      <w:pPr>
        <w:spacing w:before="0" w:after="80" w:line="276" w:lineRule="auto"/>
      </w:pPr>
      <w:r>
        <w:rPr>
          <w:rFonts w:ascii="Arial" w:hAnsi="Arial"/>
          <w:color w:val="1E293B"/>
          <w:sz w:val="20"/>
        </w:rPr>
        <w:t>*(Transitional Note: Pursuant to Law No. 1 of 2023 on the National Criminal Code, effective January 2, 2026, Embezzlement is codified under Article 486 and Fraud under Article 492).*</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II. Statutory Wording and Constitutive Legal Elements</w:t>
      </w:r>
    </w:p>
    <w:p>
      <w:pPr>
        <w:spacing w:before="0" w:after="80"/>
      </w:pPr>
    </w:p>
    <w:p>
      <w:pPr>
        <w:spacing w:before="160" w:after="80" w:line="276" w:lineRule="auto"/>
      </w:pPr>
      <w:r>
        <w:rPr>
          <w:rFonts w:ascii="Arial" w:hAnsi="Arial"/>
          <w:b/>
          <w:color w:val="0F172A"/>
          <w:sz w:val="21"/>
        </w:rPr>
        <w:t>##### 1. Article 378 of the Indonesian Criminal Code (Fraud / *Oplichting*)</w:t>
      </w:r>
    </w:p>
    <w:p>
      <w:pPr>
        <w:spacing w:before="0" w:after="80" w:line="276" w:lineRule="auto"/>
      </w:pPr>
      <w:r>
        <w:rPr>
          <w:rFonts w:ascii="Arial" w:hAnsi="Arial"/>
          <w:color w:val="1E293B"/>
          <w:sz w:val="20"/>
        </w:rPr>
        <w:t>&gt; *"Any person who, with the intent to unlawfully benefit themselves or another person, by using a false name or false status/dignity (hoedanigheid), by deceitful stratagems, or by a fabric of falsehoods, induces another person to deliver any property to them, or to confer a loan, or to cancel a debt, shall, being guilty of fraud, be punished by a maximum imprisonment of four years."*</w:t>
      </w:r>
    </w:p>
    <w:p>
      <w:pPr>
        <w:spacing w:before="0" w:after="80"/>
      </w:pPr>
    </w:p>
    <w:p>
      <w:pPr>
        <w:spacing w:before="0" w:after="80" w:line="276" w:lineRule="auto"/>
      </w:pPr>
      <w:r>
        <w:rPr>
          <w:rFonts w:ascii="Arial" w:hAnsi="Arial"/>
          <w:color w:val="1E293B"/>
          <w:sz w:val="20"/>
        </w:rPr>
        <w:t>* **Subjective Elements:**</w:t>
      </w:r>
    </w:p>
    <w:p>
      <w:pPr>
        <w:spacing w:before="0" w:after="80" w:line="276" w:lineRule="auto"/>
      </w:pPr>
      <w:r>
        <w:rPr>
          <w:rFonts w:ascii="Arial" w:hAnsi="Arial"/>
          <w:color w:val="1E293B"/>
          <w:sz w:val="20"/>
        </w:rPr>
        <w:t xml:space="preserve">  1. With intent (*oogmerk*);</w:t>
      </w:r>
    </w:p>
    <w:p>
      <w:pPr>
        <w:spacing w:before="0" w:after="80" w:line="276" w:lineRule="auto"/>
      </w:pPr>
      <w:r>
        <w:rPr>
          <w:rFonts w:ascii="Arial" w:hAnsi="Arial"/>
          <w:color w:val="1E293B"/>
          <w:sz w:val="20"/>
        </w:rPr>
        <w:t xml:space="preserve">  2. To unlawfully benefit oneself or another person (*om zich of een ander wederrechtelijk te bevoordelen*).</w:t>
      </w:r>
    </w:p>
    <w:p>
      <w:pPr>
        <w:spacing w:before="0" w:after="80"/>
      </w:pPr>
    </w:p>
    <w:p>
      <w:pPr>
        <w:spacing w:before="0" w:after="80" w:line="276" w:lineRule="auto"/>
      </w:pPr>
      <w:r>
        <w:rPr>
          <w:rFonts w:ascii="Arial" w:hAnsi="Arial"/>
          <w:color w:val="1E293B"/>
          <w:sz w:val="20"/>
        </w:rPr>
        <w:t>* **Objective Elements:**</w:t>
      </w:r>
    </w:p>
    <w:p>
      <w:pPr>
        <w:spacing w:before="0" w:after="80" w:line="276" w:lineRule="auto"/>
      </w:pPr>
      <w:r>
        <w:rPr>
          <w:rFonts w:ascii="Arial" w:hAnsi="Arial"/>
          <w:color w:val="1E293B"/>
          <w:sz w:val="20"/>
        </w:rPr>
        <w:t xml:space="preserve">  1. Act: Inducing (*beweegt*) another person;</w:t>
      </w:r>
    </w:p>
    <w:p>
      <w:pPr>
        <w:spacing w:before="0" w:after="80" w:line="276" w:lineRule="auto"/>
      </w:pPr>
      <w:r>
        <w:rPr>
          <w:rFonts w:ascii="Arial" w:hAnsi="Arial"/>
          <w:color w:val="1E293B"/>
          <w:sz w:val="20"/>
        </w:rPr>
        <w:t xml:space="preserve">  2. Consequence/Object: To deliver property, extend credit/debt, or annul/cancel a debt;</w:t>
      </w:r>
    </w:p>
    <w:p>
      <w:pPr>
        <w:spacing w:before="0" w:after="80" w:line="276" w:lineRule="auto"/>
      </w:pPr>
      <w:r>
        <w:rPr>
          <w:rFonts w:ascii="Arial" w:hAnsi="Arial"/>
          <w:color w:val="1E293B"/>
          <w:sz w:val="20"/>
        </w:rPr>
        <w:t xml:space="preserve">  3. Means of inducement (fraudulent means / *oplichtingsmiddelen*):</w:t>
      </w:r>
    </w:p>
    <w:p>
      <w:pPr>
        <w:spacing w:before="0" w:after="80" w:line="276" w:lineRule="auto"/>
      </w:pPr>
      <w:r>
        <w:rPr>
          <w:rFonts w:ascii="Arial" w:hAnsi="Arial"/>
          <w:color w:val="1E293B"/>
          <w:sz w:val="20"/>
        </w:rPr>
        <w:t xml:space="preserve">     * Using a false name;</w:t>
      </w:r>
    </w:p>
    <w:p>
      <w:pPr>
        <w:spacing w:before="0" w:after="80" w:line="276" w:lineRule="auto"/>
      </w:pPr>
      <w:r>
        <w:rPr>
          <w:rFonts w:ascii="Arial" w:hAnsi="Arial"/>
          <w:color w:val="1E293B"/>
          <w:sz w:val="20"/>
        </w:rPr>
        <w:t xml:space="preserve">     * Using a false capacity/status (*valsche hoedanigheid*);</w:t>
      </w:r>
    </w:p>
    <w:p>
      <w:pPr>
        <w:spacing w:before="0" w:after="80" w:line="276" w:lineRule="auto"/>
      </w:pPr>
      <w:r>
        <w:rPr>
          <w:rFonts w:ascii="Arial" w:hAnsi="Arial"/>
          <w:color w:val="1E293B"/>
          <w:sz w:val="20"/>
        </w:rPr>
        <w:t xml:space="preserve">     * Employing deceitful stratagems (*listige kunstgrepen*); or</w:t>
      </w:r>
    </w:p>
    <w:p>
      <w:pPr>
        <w:spacing w:before="0" w:after="80" w:line="276" w:lineRule="auto"/>
      </w:pPr>
      <w:r>
        <w:rPr>
          <w:rFonts w:ascii="Arial" w:hAnsi="Arial"/>
          <w:color w:val="1E293B"/>
          <w:sz w:val="20"/>
        </w:rPr>
        <w:t xml:space="preserve">     * Deploying a fabric/web of falsehoods (*samenweefsel van verdichtsels*).</w:t>
      </w:r>
    </w:p>
    <w:p>
      <w:pPr>
        <w:spacing w:before="0" w:after="80"/>
      </w:pPr>
    </w:p>
    <w:p>
      <w:pPr>
        <w:spacing w:before="160" w:after="80" w:line="276" w:lineRule="auto"/>
      </w:pPr>
      <w:r>
        <w:rPr>
          <w:rFonts w:ascii="Arial" w:hAnsi="Arial"/>
          <w:b/>
          <w:color w:val="0F172A"/>
          <w:sz w:val="21"/>
        </w:rPr>
        <w:t>##### 2. Article 372 of the Indonesian Criminal Code (Embezzlement / *Verduistering*)</w:t>
      </w:r>
    </w:p>
    <w:p>
      <w:pPr>
        <w:spacing w:before="0" w:after="80" w:line="276" w:lineRule="auto"/>
      </w:pPr>
      <w:r>
        <w:rPr>
          <w:rFonts w:ascii="Arial" w:hAnsi="Arial"/>
          <w:color w:val="1E293B"/>
          <w:sz w:val="20"/>
        </w:rPr>
        <w:t>&gt; *"Any person who intentionally and unlawfully appropriates as their own property any object belonging wholly or partially to another person, which is in their possession other than by means of a crime, shall, being guilty of embezzlement, be punished by a maximum imprisonment of four years or a maximum criminal fine of nine hundred rupiah."* *(Adjusted by Supreme Court Regulation No. 2 of 2012 by a factor of 1,000).*</w:t>
      </w:r>
    </w:p>
    <w:p>
      <w:pPr>
        <w:spacing w:before="0" w:after="80"/>
      </w:pPr>
    </w:p>
    <w:p>
      <w:pPr>
        <w:spacing w:before="0" w:after="80" w:line="276" w:lineRule="auto"/>
      </w:pPr>
      <w:r>
        <w:rPr>
          <w:rFonts w:ascii="Arial" w:hAnsi="Arial"/>
          <w:color w:val="1E293B"/>
          <w:sz w:val="20"/>
        </w:rPr>
        <w:t>* **Subjective Elements:**</w:t>
      </w:r>
    </w:p>
    <w:p>
      <w:pPr>
        <w:spacing w:before="0" w:after="80" w:line="276" w:lineRule="auto"/>
      </w:pPr>
      <w:r>
        <w:rPr>
          <w:rFonts w:ascii="Arial" w:hAnsi="Arial"/>
          <w:color w:val="1E293B"/>
          <w:sz w:val="20"/>
        </w:rPr>
        <w:t xml:space="preserve">  1. Intentionally (*opzettelijk*);</w:t>
      </w:r>
    </w:p>
    <w:p>
      <w:pPr>
        <w:spacing w:before="0" w:after="80" w:line="276" w:lineRule="auto"/>
      </w:pPr>
      <w:r>
        <w:rPr>
          <w:rFonts w:ascii="Arial" w:hAnsi="Arial"/>
          <w:color w:val="1E293B"/>
          <w:sz w:val="20"/>
        </w:rPr>
        <w:t xml:space="preserve">  2. Unlawfully (*wederrechtelijk*).</w:t>
      </w:r>
    </w:p>
    <w:p>
      <w:pPr>
        <w:spacing w:before="0" w:after="80"/>
      </w:pPr>
    </w:p>
    <w:p>
      <w:pPr>
        <w:spacing w:before="0" w:after="80" w:line="276" w:lineRule="auto"/>
      </w:pPr>
      <w:r>
        <w:rPr>
          <w:rFonts w:ascii="Arial" w:hAnsi="Arial"/>
          <w:color w:val="1E293B"/>
          <w:sz w:val="20"/>
        </w:rPr>
        <w:t>* **Objective Elements:**</w:t>
      </w:r>
    </w:p>
    <w:p>
      <w:pPr>
        <w:spacing w:before="0" w:after="80" w:line="276" w:lineRule="auto"/>
      </w:pPr>
      <w:r>
        <w:rPr>
          <w:rFonts w:ascii="Arial" w:hAnsi="Arial"/>
          <w:color w:val="1E293B"/>
          <w:sz w:val="20"/>
        </w:rPr>
        <w:t xml:space="preserve">  1. Act: Unlawfully appropriating/treating as one's own property (*zich wederrechtelijk toe-eigent*);</w:t>
      </w:r>
    </w:p>
    <w:p>
      <w:pPr>
        <w:spacing w:before="0" w:after="80" w:line="276" w:lineRule="auto"/>
      </w:pPr>
      <w:r>
        <w:rPr>
          <w:rFonts w:ascii="Arial" w:hAnsi="Arial"/>
          <w:color w:val="1E293B"/>
          <w:sz w:val="20"/>
        </w:rPr>
        <w:t xml:space="preserve">  2. Object: Any movable or immovable property belonging wholly or partially to another person;</w:t>
      </w:r>
    </w:p>
    <w:p>
      <w:pPr>
        <w:spacing w:before="0" w:after="80" w:line="276" w:lineRule="auto"/>
      </w:pPr>
      <w:r>
        <w:rPr>
          <w:rFonts w:ascii="Arial" w:hAnsi="Arial"/>
          <w:color w:val="1E293B"/>
          <w:sz w:val="20"/>
        </w:rPr>
        <w:t xml:space="preserve">  3. Condition of Possession: The property is already within the perpetrator’s custody/possession through legal means and not as a result of a crime (e.g., via bailment, lease, or employment relationship).</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III. Fundamental Legal Differentiation (Article 378 vs. Article 372 KUHP)</w:t>
      </w:r>
    </w:p>
    <w:p>
      <w:pPr>
        <w:spacing w:before="0" w:after="80"/>
      </w:pPr>
    </w:p>
    <w:p>
      <w:pPr>
        <w:spacing w:before="0" w:after="80" w:line="276" w:lineRule="auto"/>
      </w:pPr>
      <w:r>
        <w:rPr>
          <w:rFonts w:ascii="Arial" w:hAnsi="Arial"/>
          <w:color w:val="1E293B"/>
          <w:sz w:val="20"/>
        </w:rPr>
        <w:t>| Differentiating Parameter | Fraud (Article 378 KUHP) | Embezzlement (Article 372 KUHP) |</w:t>
      </w:r>
    </w:p>
    <w:p>
      <w:pPr>
        <w:spacing w:before="0" w:after="80" w:line="276" w:lineRule="auto"/>
      </w:pPr>
      <w:r>
        <w:rPr>
          <w:rFonts w:ascii="Arial" w:hAnsi="Arial"/>
          <w:color w:val="1E293B"/>
          <w:sz w:val="20"/>
        </w:rPr>
        <w:t>| :--- | :--- | :--- |</w:t>
      </w:r>
    </w:p>
    <w:p>
      <w:pPr>
        <w:spacing w:before="0" w:after="80" w:line="276" w:lineRule="auto"/>
      </w:pPr>
      <w:r>
        <w:rPr>
          <w:rFonts w:ascii="Arial" w:hAnsi="Arial"/>
          <w:color w:val="1E293B"/>
          <w:sz w:val="20"/>
        </w:rPr>
        <w:t>| **Transfer of Property** | Property is surrendered by the victim as a direct result of being misled by deceptive stratagems/falsehoods. | Property is already in the lawful custody of the perpetrator prior to the formation of criminal intent. |</w:t>
      </w:r>
    </w:p>
    <w:p>
      <w:pPr>
        <w:spacing w:before="0" w:after="80" w:line="276" w:lineRule="auto"/>
      </w:pPr>
      <w:r>
        <w:rPr>
          <w:rFonts w:ascii="Arial" w:hAnsi="Arial"/>
          <w:color w:val="1E293B"/>
          <w:sz w:val="20"/>
        </w:rPr>
        <w:t>| **Criminal Intent (*Mens Rea*)** | Arises **prior to** or **at the moment** the property or economic benefit is delivered. | Arises **subsequent to** the property coming into the lawful physical custody of the perpetrator. |</w:t>
      </w:r>
    </w:p>
    <w:p>
      <w:pPr>
        <w:spacing w:before="0" w:after="80" w:line="276" w:lineRule="auto"/>
      </w:pPr>
      <w:r>
        <w:rPr>
          <w:rFonts w:ascii="Arial" w:hAnsi="Arial"/>
          <w:color w:val="1E293B"/>
          <w:sz w:val="20"/>
        </w:rPr>
        <w:t>| **Underlying Cause of Delivery** | Defective consent caused by misrepresentation/fallacy (*dwaling*) through fraudulent apparatus. | Lawful legal relationship (e.g., entrustment, safekeeping, lease, power of attorney). |</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IV. Jurisprudential Boundary: Civil Breach (*Wanprestasi*) vs. Criminal Liability</w:t>
      </w:r>
    </w:p>
    <w:p>
      <w:pPr>
        <w:spacing w:before="0" w:after="80"/>
      </w:pPr>
    </w:p>
    <w:p>
      <w:pPr>
        <w:spacing w:before="0" w:after="80" w:line="276" w:lineRule="auto"/>
      </w:pPr>
      <w:r>
        <w:rPr>
          <w:rFonts w:ascii="Arial" w:hAnsi="Arial"/>
          <w:color w:val="1E293B"/>
          <w:sz w:val="20"/>
        </w:rPr>
        <w:t xml:space="preserve">1. **Doctrine of the "Civil Trap":** </w:t>
      </w:r>
    </w:p>
    <w:p>
      <w:pPr>
        <w:spacing w:before="0" w:after="80" w:line="276" w:lineRule="auto"/>
      </w:pPr>
      <w:r>
        <w:rPr>
          <w:rFonts w:ascii="Arial" w:hAnsi="Arial"/>
          <w:color w:val="1E293B"/>
          <w:sz w:val="20"/>
        </w:rPr>
        <w:t xml:space="preserve">   A failure to fulfill a commercial obligation, contract, or debt repayment inherently constitutes a civil default (*wanprestasi* pursuant to Article 1243 of the Indonesian Civil Code).</w:t>
      </w:r>
    </w:p>
    <w:p>
      <w:pPr>
        <w:spacing w:before="0" w:after="80" w:line="276" w:lineRule="auto"/>
      </w:pPr>
      <w:r>
        <w:rPr>
          <w:rFonts w:ascii="Arial" w:hAnsi="Arial"/>
          <w:color w:val="1E293B"/>
          <w:sz w:val="20"/>
        </w:rPr>
        <w:t>2. **Supreme Court Jurisprudence (Decisions No. 1601 K/Pid/1990 &amp; No. 449 K/Pid/2001):**</w:t>
      </w:r>
    </w:p>
    <w:p>
      <w:pPr>
        <w:spacing w:before="0" w:after="80" w:line="276" w:lineRule="auto"/>
      </w:pPr>
      <w:r>
        <w:rPr>
          <w:rFonts w:ascii="Arial" w:hAnsi="Arial"/>
          <w:color w:val="1E293B"/>
          <w:sz w:val="20"/>
        </w:rPr>
        <w:t xml:space="preserve">   * If the transfer of funds or assets was founded upon a valid contract entered into with bona fide intent at execution, a subsequent failure to perform constitutes a civil breach of contract, not criminal fraud, unless it is proven that fraudulent inducements, false capacity, or deceptive mechanisms induced the execution of the contract *ab initio*.</w:t>
      </w:r>
    </w:p>
    <w:p>
      <w:pPr>
        <w:spacing w:before="0" w:after="80" w:line="276" w:lineRule="auto"/>
      </w:pPr>
      <w:r>
        <w:rPr>
          <w:rFonts w:ascii="Arial" w:hAnsi="Arial"/>
          <w:color w:val="1E293B"/>
          <w:sz w:val="20"/>
        </w:rPr>
        <w:t xml:space="preserve">   * Conversely, if property lawfully held under a lease, bailment, or custody is subsequently sold, pledged, or encumbered as if it were personal property without the rightful owner's consent, the act immediately ripens into criminal embezzlement under Article 372 KUHP.</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V. Practical Compliance Guidance &amp; Risk Mitigation</w:t>
      </w:r>
    </w:p>
    <w:p>
      <w:pPr>
        <w:spacing w:before="0" w:after="80"/>
      </w:pPr>
    </w:p>
    <w:p>
      <w:pPr>
        <w:spacing w:before="0" w:after="80" w:line="276" w:lineRule="auto"/>
      </w:pPr>
      <w:r>
        <w:rPr>
          <w:rFonts w:ascii="Arial" w:hAnsi="Arial"/>
          <w:color w:val="1E293B"/>
          <w:sz w:val="20"/>
        </w:rPr>
        <w:t>1. **Rigorous Counterparty Due Diligence:** Thoroughly authenticate the legal personality, representative authority, and factual claims of any party prior to asset transfers or entering agreements, actively preventing exposure to Article 378 tactics (false capacity/names).</w:t>
      </w:r>
    </w:p>
    <w:p>
      <w:pPr>
        <w:spacing w:before="0" w:after="80" w:line="276" w:lineRule="auto"/>
      </w:pPr>
      <w:r>
        <w:rPr>
          <w:rFonts w:ascii="Arial" w:hAnsi="Arial"/>
          <w:color w:val="1E293B"/>
          <w:sz w:val="20"/>
        </w:rPr>
        <w:t>2. **Robust Asset Custody &amp; Bailment Provisions:** For leasing, consignment, or agency relationships, insert explicit fiduciary stipulations, express restrictions against unauthorized disposition, and maintain signed Minutes of Transfer/Delivery (*Berita Acara Serah Terima* / BAST) to establish clear custody parameters under Article 372 KUHP.</w:t>
      </w:r>
    </w:p>
    <w:p>
      <w:pPr>
        <w:spacing w:before="0" w:after="80" w:line="276" w:lineRule="auto"/>
      </w:pPr>
      <w:r>
        <w:rPr>
          <w:rFonts w:ascii="Arial" w:hAnsi="Arial"/>
          <w:color w:val="1E293B"/>
          <w:sz w:val="20"/>
        </w:rPr>
        <w:t>3. **Comprehensive Audit Trail &amp; Evidence Preservation:** Retain timestamped records of representations, performance milestones, and asset movements to clearly distinguish between legitimate commercial non-performance (civil) and pre-existing or post-possession criminal intent (*mens rea*).</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