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"Undang undang kdrt"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Dasar hukum utama yang mengatur mengenai tindak pidana kekerasan dalam rumah tangga di Indonesia adalah **Undang-Undang Republik Indonesia Nomor 23 Tahun 2004 tentang Penghapusan Kekerasan dalam Rumah Tangga (UU PKDRT)**.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I. DEFINISI DAN RUANG LINGKUP SUBJEKTIF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Definisi KDRT (Pasal 1 Angka 1 UU PKDRT)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Kekerasan dalam Rumah Tangga adalah setiap perbuatan terhadap seseorang terutama perempuan, yang berakibat timbulnya kesengsaraan atau penderitaan secara fisik, seksual, psikologis, dan/atau penelantaran rumah tangga termasuk ancaman untuk melakukan perbuatan, pemaksaan, atau perampasan kemerdekaan secara melawan hukum dalam lingkup rumah tangga.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Ruang Lingkup Rumah Tangga (Pasal 2 UU PKDRT)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Subjek yang dilindungi dalam lingkup rumah tangga meliputi: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Suami, isteri, dan anak;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Orang-orang yang mempunyai hubungan keluarga dengan orang sebagaimana dimaksud pada angka 1 karena hubungan darah, perkawinan, persusuan, pengasuhan, dan perwalian, yang menetap dalam rumah tangga;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Orang yang bekerja membantu rumah tangga dan menetap dalam rumah tangga tersebut (pekerja rumah tangga).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II. BENTUK-BENTUK TINDAK PIDANA KDRT (PASAL 5 - 9)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5 UU PKDRT secara tegas melarang setiap orang melakukan kekerasan dalam lingkup rumah tangga dengan klasifikasi sebagai berikut: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**Kekerasan Fisik (Pasal 6):** Perbuatan yang mengakibatkan rasa sakit, jatuh sakit, atau luka berat.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**Kekerasan Psikis (Pasal 7):** Perbuatan yang mengakibatkan ketakutan, hilangnya rasa percaya diri, hilangnya kemampuan untuk bertindak, rasa tidak berdaya, dan/atau penderitaan psikis berat pada seseorang.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**Kekerasan Seksual (Pasal 8):**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Pemaksaan hubungan seksual yang dilakukan terhadap orang yang menetap dalam lingkup rumah tangga tersebut (*marital rape* diakui secara yuridis).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Pemaksaan hubungan seksual terhadap salah seorang dalam lingkup rumah tangganya dengan orang lain untuk tujuan komersial dan/atau tujuan tertentu.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**Penelantaran Rumah Tangga (Pasal 9):**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Menelantarkan orang dalam lingkup rumah tangganya, padahal menurut hukum yang berlaku baginya atau karena persetujuan/komitmen ia wajib memberikan kehidupan, perawatan, atau pemeliharaan.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Mengakibatkan ketergantungan ekonomi dengan cara membatasi dan/atau melarang untuk bekerja yang layak di dalam atau di luar rumah.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III. KETENTUAN PIDANA (SANKSI)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Ketentuan sanksi pidana diatur dalam Bab VIII (Pasal 44 s/d 53):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Bentuk Kekerasan | Pasal Rujukan | Kualifikasi &amp; Delik | Ancaman Sanksi Pidana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**Fisik (Biasa)** | Pasal 44 ayat (1) | Delik Biasa | Penjara maks. 5 tahun ATAU denda maks. Rp15.000.000,-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**Fisik (Luka Berat)** | Pasal 44 ayat (2) | Delik Biasa | Penjara maks. 10 tahun ATAU denda maks. Rp30.000.000,-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**Fisik (Kematian Korban)** | Pasal 44 ayat (3) | Delik Biasa | Penjara maks. 15 tahun ATAU denda maks. Rp45.000.000,-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**Fisik Ringan** *(oleh suami-istri tanpa halangan kerja)* | Pasal 44 ayat (4) | **Delik Aduan** | Penjara maks. 4 bulan ATAU denda maks. Rp5.000.000,-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**Psikis (Biasa)** | Pasal 45 ayat (1) | Delik Biasa | Penjara maks. 3 tahun ATAU denda maks. Rp9.000.000,-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**Psikis Ringan** | Pasal 45 ayat (2) | **Delik Aduan** | Penjara maks. 4 bulan ATAU denda maks. Rp3.000.000,-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**Kekerasan Seksual (Pasal 8 huruf a)** | Pasal 46 | Delik Biasa | Penjara maks. 12 tahun ATAU denda maks. Rp36.000.000,-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**Penelantaran Rumah Tangga** | Pasal 49 | Delik Biasa | Penjara maks. 3 tahun ATAU denda maks. Rp15.000.000,-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*Catatan Prosedural:* Penggunaan delik aduan (*klachtdelict*) terbatas pada tindak pidana kekerasan fisik ringan dan psikis ringan yang dilakukan antar-suami-istri. Tindak pidana kekerasan fisik yang menimbulkan luka/halangan beraktivitas, kekerasan seksual, dan penelantaran adalah **delik biasa** (aparat penegak hukum wajib memproses tanpa bergantung pada pencabutan laporan).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IV. HAK KORBAN DAN PERLINDUNGAN HUKUM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**Hak Korban (Pasal 10):** Korban berhak memperoleh perlindungan dari keluarga, advokat, lembaga sosial, kepolisian, kejaksaan, pengadilan; pelayanan kesehatan; penanganan khusus kerahasiaan korban; dan pendampingan oleh pekerja sosial serta bantuan hukum.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**Perintah Perlindungan (Protection Order):**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**Perlindungan Sementara oleh Kepolisian (Pasal 16–20):** Diberikan dalam waktu 1 x 24 jam sejak laporan diterima, berlaku selama 30 hari.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**Penetapan Perintah Perlindungan oleh Pengadilan (Pasal 21–38):** Dikeluarkan oleh Ketua Pengadilan Negeri dalam jangka waktu paling lambat 7 hari sejak permohonan diajukan, berlaku selama 1 (satu) tahun dan dapat diperpanjang.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V. PANDUAN KEPATUHAN &amp; TINDAKAN HUKUM PRAKTIS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**Pelaporan:** Korban, keluarga, atau saksi dapat melaporkan dugaan KDRT ke Unit Perlindungan Perempuan dan Anak (PPA) pada Kepolisian Resor (Polres) setempat.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**Alat Bukti:** Mengamankan *Visum et Repertum* fisik atau *Visum et Repertum Psychiatricum* sesegera mungkin sebagai bukti primer berdasarkan Pasal 184 KUHAP jo. Pasal 55 UU PKDRT (keterangan saksi korban saja ditambah 1 alat bukti lain sudah cukup untuk menjatuhkan pidana).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 primary governing statutory framework addressing domestic violence offenses in Indonesia is **Law of the Republic of Indonesia Number 23 of 2004 on the Elimination of Domestic Violence (*Undang-Undang Penghapusan Kekerasan dalam Rumah Tangga* / UU PKDRT)**.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I. DEFINITIONS AND SUBJECTIVE SCOPE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Definition of Domestic Violence (Article 1 Point 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Domestic Violence is any act committed against a person, particularly a woman, resulting in physical, sexual, or psychological misery or suffering, and/or household abandonment/neglect, including threats to commit acts, coercion, or unlawful deprivation of liberty within the scope of the household.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Scope of the Household (Article 2)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Persons protected under the domestic scope include: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Husbands, wives, and children;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Individuals with familial relationships with the aforementioned persons by blood, marriage, wet-nursing, fosterage, and guardianship, who permanently reside within the household; and/or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Individuals who work as domestic helpers and reside within the household (domestic workers).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II. CLASSIFICATION OF DOMESTIC OFFENSES (ARTICLES 5 - 9)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Article 5 strictly prohibits any person from perpetrating violence within the household scope, classified into: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**Physical Violence (Article 6):** Acts resulting in physical pain, illness, or serious bodily injury.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**Psychological Violence (Article 7):** Acts causing fear, loss of self-confidence, inability to act, feelings of helplessness, and/or severe psychological suffering.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**Sexual Violence (Article 8):**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Coerced sexual intercourse committed against an individual residing within the household (*marital rape* is explicitly recognized under statutory law).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Coerced sexual intercourse against a member of the household with a third party for commercial or specific purposes.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**Household Abandonment/Neglect (Article 9):**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Abandoning/neglecting an individual within the household whom the perpetrator is legally or contractually obligated to provide sustenance, care, or maintenance.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Causing economic dependency by restricting and/or prohibiting the individual from engaging in gainful employment inside or outside the household.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III. PENAL SANCTIONS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Criminal penalties are codified under Chapter VIII (Articles 44 through 53):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Offense Type | Governing Article | Offense Nature | Statutory Penalties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**Physical (Standard)** | Article 44(1) | Ordinary Offense | Imprisonment max. 5 years OR fine max. IDR 15,000,000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**Physical (Grievous Bodily Harm)** | Article 44(2) | Ordinary Offense | Imprisonment max. 10 years OR fine max. IDR 30,000,000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**Physical (Resulting in Death)** | Article 44(3) | Ordinary Offense | Imprisonment max. 15 years OR fine max. IDR 45,000,000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**Minor Physical** *(spousal, without work disruption)* | Article 44(4) | **Complaint Offense** | Imprisonment max. 4 months OR fine max. IDR 5,000,000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**Psychological (Standard)** | Article 45(1) | Ordinary Offense | Imprisonment max. 3 years OR fine max. IDR 9,000,000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**Minor Psychological** | Article 45(2) | **Complaint Offense** | Imprisonment max. 4 months OR fine max. IDR 3,000,000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**Sexual Violence (Article 8(a))** | Article 46 | Ordinary Offense | Imprisonment max. 12 years OR fine max. IDR 36,000,000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**Household Abandonment** | Article 49 | Ordinary Offense | Imprisonment max. 3 years OR fine max. IDR 15,000,000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*Procedural Note:* The complaint-based doctrine (*delik aduan*) applies strictly to minor physical and minor psychological violence between spouses. Physical offenses causing injury or disruption of daily activities, sexual violence, and abandonment are **ordinary offenses** (*delik biasa*), obligating law enforcement to prosecute regardless of complainant reconciliation or withdrawal.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IV. VICTIM RIGHTS AND STATUTORY PROTECTION ORDERS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**Victim Rights (Article 10):** Victims possess the statutory right to obtain protection from family, legal counsel, social welfare institutions, the police, the prosecution service, and the courts; medical care; confidentiality of identity; and social worker assistance alongside legal aid.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**Protection Orders:**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**Interim Protection Order by the Police (Articles 16–20):** Must be issued within 24 hours of report receipt, valid for up to 30 days.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**Court Protection Order (Articles 21–38):** Issued by the Chief Judge of the District Court (*Pengadilan Negeri*) within 7 days of application, valid for up to 1 (one) year and subject to judicial extension.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V. PROCEDURAL AND ACTIONABLE LEGAL GUIDANCE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**Filing Reports:** Victims, relatives, or designated legal proxies can file formal complaints directly with the Women and Children Protection Unit (*Unit Perlindungan Perempuan dan Anak / PPA*) at the competent District Police Station (*Kepolisian Resor / Polres*).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**Evidentiary Threshold:** Secure an immediate physical *Visum et Repertum* or a *Visum et Repertum Psychiatricum*. Under Article 55 of the PKDRT Law (read alongside Article 184 of the Indonesian Criminal Procedure Code / KUHAP), the testimony of the victim witness combined with one other item of corroborating evidence is legally sufficient to secure a conviction.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