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"UU No. 40 Tahun 2007 Perseroan Terbatas"</w:t>
      </w:r>
    </w:p>
    <w:p>
      <w:pPr>
        <w:spacing w:before="0" w:after="360"/>
        <w:jc w:val="center"/>
      </w:pPr>
      <w:r>
        <w:rPr>
          <w:rFonts w:ascii="Arial" w:hAnsi="Arial"/>
          <w:color w:val="64748B"/>
          <w:sz w:val="17"/>
        </w:rPr>
        <w:t>CATEGORY: CORPORATE &amp; INVESTMENT | DUAL LANGUAGE: ID ↔ MANDARIN CHINESE (中文) | 05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0" w:after="80" w:line="276" w:lineRule="auto"/>
      </w:pPr>
      <w:r>
        <w:rPr>
          <w:rFonts w:ascii="Arial" w:hAnsi="Arial"/>
          <w:color w:val="1E293B"/>
          <w:sz w:val="20"/>
        </w:rPr>
        <w:t>**Dasar Hukum:**</w:t>
      </w:r>
    </w:p>
    <w:p>
      <w:pPr>
        <w:spacing w:before="0" w:after="80" w:line="276" w:lineRule="auto"/>
      </w:pPr>
      <w:r>
        <w:rPr>
          <w:rFonts w:ascii="Arial" w:hAnsi="Arial"/>
          <w:color w:val="1E293B"/>
          <w:sz w:val="20"/>
        </w:rPr>
        <w:t>*   Undang-Undang Republik Indonesia Nomor 40 Tahun 2007 tentang Perseroan Terbatas ("UU PT").</w:t>
      </w:r>
    </w:p>
    <w:p>
      <w:pPr>
        <w:spacing w:before="0" w:after="80" w:line="276" w:lineRule="auto"/>
      </w:pPr>
      <w:r>
        <w:rPr>
          <w:rFonts w:ascii="Arial" w:hAnsi="Arial"/>
          <w:color w:val="1E293B"/>
          <w:sz w:val="20"/>
        </w:rPr>
        <w:t>*   Undang-Undang Nomor 6 Tahun 2023 tentang Penetapan Peraturan Pemerintah Pengganti Undang-Undang Nomor 2 Tahun 2022 tentang Cipta Kerja Menjadi Undang-Undang ("UU Cipta Kerja" - klaster perseroan terbatas).</w:t>
      </w:r>
    </w:p>
    <w:p>
      <w:pPr>
        <w:spacing w:before="0" w:after="80" w:line="276" w:lineRule="auto"/>
      </w:pPr>
      <w:r>
        <w:rPr>
          <w:rFonts w:ascii="Arial" w:hAnsi="Arial"/>
          <w:color w:val="1E293B"/>
          <w:sz w:val="20"/>
        </w:rPr>
        <w:t>*   Peraturan Pemerintah Republik Indonesia Nomor 8 Tahun 2021 tentang Modal Dasar Perseroan serta Pendaftaran Pendirian, Perubahan, dan Pembubaran Perseroan yang Memenuhi Kriteria untuk Usaha Mikro dan Kecil.</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1. Definisi dan Karakteristik Perseroan Terbatas</w:t>
      </w:r>
    </w:p>
    <w:p>
      <w:pPr>
        <w:spacing w:before="0" w:after="80" w:line="276" w:lineRule="auto"/>
      </w:pPr>
      <w:r>
        <w:rPr>
          <w:rFonts w:ascii="Arial" w:hAnsi="Arial"/>
          <w:color w:val="1E293B"/>
          <w:sz w:val="20"/>
        </w:rPr>
        <w:t>Berdasarkan **Pasal 1 angka 1 UU PT jo. UU Cipta Kerja**, Perseroan Terbatas ("Perseroan") adalah badan hukum yang merupakan persekutuan modal, didirikan berdasarkan perjanjian, melakukan kegiatan usaha dengan modal dasar yang seluruhnya terbagi dalam saham, atau badan hukum perorangan yang memenuhi kriteria Usaha Mikro dan Kecil (UMK) sebagaimana diatur dalam peraturan perundang-undangan mengenai Cipta Kerja.</w:t>
      </w:r>
    </w:p>
    <w:p>
      <w:pPr>
        <w:spacing w:before="0" w:after="80"/>
      </w:pPr>
    </w:p>
    <w:p>
      <w:pPr>
        <w:spacing w:before="0" w:after="80" w:line="276" w:lineRule="auto"/>
      </w:pPr>
      <w:r>
        <w:rPr>
          <w:rFonts w:ascii="Arial" w:hAnsi="Arial"/>
          <w:color w:val="1E293B"/>
          <w:sz w:val="20"/>
        </w:rPr>
        <w:t>**Prinsip Tanggung Jawab Terbatas (*Limited Liability*) dan Pengecualiannya (*Piercing the Corporate Veil*):**</w:t>
      </w:r>
    </w:p>
    <w:p>
      <w:pPr>
        <w:spacing w:before="0" w:after="80" w:line="276" w:lineRule="auto"/>
      </w:pPr>
      <w:r>
        <w:rPr>
          <w:rFonts w:ascii="Arial" w:hAnsi="Arial"/>
          <w:color w:val="1E293B"/>
          <w:sz w:val="20"/>
        </w:rPr>
        <w:t>*   **Pasal 3 ayat (1) UU PT:** Pemegang saham Perseroan tidak bertanggung jawab secara pribadi atas perikatan yang dibuat atas nama Perseroan dan tidak bertanggung jawab atas kerugian Perseroan melebihi saham yang dimiliki.</w:t>
      </w:r>
    </w:p>
    <w:p>
      <w:pPr>
        <w:spacing w:before="0" w:after="80" w:line="276" w:lineRule="auto"/>
      </w:pPr>
      <w:r>
        <w:rPr>
          <w:rFonts w:ascii="Arial" w:hAnsi="Arial"/>
          <w:color w:val="1E293B"/>
          <w:sz w:val="20"/>
        </w:rPr>
        <w:t>*   **Pasal 3 ayat (2) UU PT:** Doktrin pertanggungjawaban terbatas gugur (*piercing the corporate veil*) apabila:</w:t>
      </w:r>
    </w:p>
    <w:p>
      <w:pPr>
        <w:spacing w:before="0" w:after="80" w:line="276" w:lineRule="auto"/>
      </w:pPr>
      <w:r>
        <w:rPr>
          <w:rFonts w:ascii="Arial" w:hAnsi="Arial"/>
          <w:color w:val="1E293B"/>
          <w:sz w:val="20"/>
        </w:rPr>
        <w:t xml:space="preserve">    1. Persyaratan Perseroan sebagai badan hukum belum atau tidak terpenuhi;</w:t>
      </w:r>
    </w:p>
    <w:p>
      <w:pPr>
        <w:spacing w:before="0" w:after="80" w:line="276" w:lineRule="auto"/>
      </w:pPr>
      <w:r>
        <w:rPr>
          <w:rFonts w:ascii="Arial" w:hAnsi="Arial"/>
          <w:color w:val="1E293B"/>
          <w:sz w:val="20"/>
        </w:rPr>
        <w:t xml:space="preserve">    2. Pemegang saham yang bersangkutan baik langsung maupun tidak langsung dengan itikad buruk memanfaatkan Perseroan semata-mata untuk kepentingan pribadi;</w:t>
      </w:r>
    </w:p>
    <w:p>
      <w:pPr>
        <w:spacing w:before="0" w:after="80" w:line="276" w:lineRule="auto"/>
      </w:pPr>
      <w:r>
        <w:rPr>
          <w:rFonts w:ascii="Arial" w:hAnsi="Arial"/>
          <w:color w:val="1E293B"/>
          <w:sz w:val="20"/>
        </w:rPr>
        <w:t xml:space="preserve">    3. Pemegang saham terlibat dalam perbuatan melawan hukum yang dilakukan oleh Perseroan; atau</w:t>
      </w:r>
    </w:p>
    <w:p>
      <w:pPr>
        <w:spacing w:before="0" w:after="80" w:line="276" w:lineRule="auto"/>
      </w:pPr>
      <w:r>
        <w:rPr>
          <w:rFonts w:ascii="Arial" w:hAnsi="Arial"/>
          <w:color w:val="1E293B"/>
          <w:sz w:val="20"/>
        </w:rPr>
        <w:t xml:space="preserve">    4. Pemegang saham menggunakan kekayaan Perseroan secara melawan hukum yang mengakibatkan kekayaan Perseroan tidak cukup untuk melunasi utang Perseroan.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Pendirian, Modal, dan Saham</w:t>
      </w:r>
    </w:p>
    <w:p>
      <w:pPr>
        <w:spacing w:before="0" w:after="80" w:line="276" w:lineRule="auto"/>
      </w:pPr>
      <w:r>
        <w:rPr>
          <w:rFonts w:ascii="Arial" w:hAnsi="Arial"/>
          <w:color w:val="1E293B"/>
          <w:sz w:val="20"/>
        </w:rPr>
        <w:t>*   **Pendirian (Pasal 7 UU PT):** Didirikan oleh 2 (dua) orang atau lebih dengan akta notaris yang dibuat dalam bahasa Indonesia. Memperoleh status badan hukum setelah didaftarkan dan diterbitkan Keputusan Menteri Hukum dan Hak Asasi Manusia (*Menkumham*).</w:t>
      </w:r>
    </w:p>
    <w:p>
      <w:pPr>
        <w:spacing w:before="0" w:after="80" w:line="276" w:lineRule="auto"/>
      </w:pPr>
      <w:r>
        <w:rPr>
          <w:rFonts w:ascii="Arial" w:hAnsi="Arial"/>
          <w:color w:val="1E293B"/>
          <w:sz w:val="20"/>
        </w:rPr>
        <w:t xml:space="preserve">    *   *Pengecualian UU Cipta Kerja:* Perseroan Perorangan untuk UMK dapat didirikan oleh 1 (satu) orang berdasarkan Surat Pernyataan Pendirian tanpa akta notaris.</w:t>
      </w:r>
    </w:p>
    <w:p>
      <w:pPr>
        <w:spacing w:before="0" w:after="80" w:line="276" w:lineRule="auto"/>
      </w:pPr>
      <w:r>
        <w:rPr>
          <w:rFonts w:ascii="Arial" w:hAnsi="Arial"/>
          <w:color w:val="1E293B"/>
          <w:sz w:val="20"/>
        </w:rPr>
        <w:t>*   **Ketentuan Modal (Pasal 31 &amp; 32 jo. UU Cipta Kerja):**</w:t>
      </w:r>
    </w:p>
    <w:p>
      <w:pPr>
        <w:spacing w:before="0" w:after="80" w:line="276" w:lineRule="auto"/>
      </w:pPr>
      <w:r>
        <w:rPr>
          <w:rFonts w:ascii="Arial" w:hAnsi="Arial"/>
          <w:color w:val="1E293B"/>
          <w:sz w:val="20"/>
        </w:rPr>
        <w:t xml:space="preserve">    *   Modal Perseroan terdiri atas Modal Dasar, Modal Ditempatkan, dan Modal Disetor.</w:t>
      </w:r>
    </w:p>
    <w:p>
      <w:pPr>
        <w:spacing w:before="0" w:after="80" w:line="276" w:lineRule="auto"/>
      </w:pPr>
      <w:r>
        <w:rPr>
          <w:rFonts w:ascii="Arial" w:hAnsi="Arial"/>
          <w:color w:val="1E293B"/>
          <w:sz w:val="20"/>
        </w:rPr>
        <w:t xml:space="preserve">    *   Besaran modal dasar ditentukan berdasarkan keputusan para pendiri Perseroan (menghapus batas minimal Rp50.000.000,-).</w:t>
      </w:r>
    </w:p>
    <w:p>
      <w:pPr>
        <w:spacing w:before="0" w:after="80" w:line="276" w:lineRule="auto"/>
      </w:pPr>
      <w:r>
        <w:rPr>
          <w:rFonts w:ascii="Arial" w:hAnsi="Arial"/>
          <w:color w:val="1E293B"/>
          <w:sz w:val="20"/>
        </w:rPr>
        <w:t xml:space="preserve">    *   **Pasal 33 ayat (1):** Minimal 25% (dua puluh lima persen) dari modal dasar harus ditempatkan dan disetor penuh yang dibuktikan dengan bukti penyetoran yang sah.</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Struktur Organ Perseroan Terbatas</w:t>
      </w:r>
    </w:p>
    <w:p>
      <w:pPr>
        <w:spacing w:before="0" w:after="80" w:line="276" w:lineRule="auto"/>
      </w:pPr>
      <w:r>
        <w:rPr>
          <w:rFonts w:ascii="Arial" w:hAnsi="Arial"/>
          <w:color w:val="1E293B"/>
          <w:sz w:val="20"/>
        </w:rPr>
        <w:t>UU PT menetapkan struktur *tripartite* dalam tata kelola perseroan (*corporate governance*):</w:t>
      </w:r>
    </w:p>
    <w:p>
      <w:pPr>
        <w:spacing w:before="0" w:after="80"/>
      </w:pPr>
    </w:p>
    <w:p>
      <w:pPr>
        <w:spacing w:before="0" w:after="80" w:line="276" w:lineRule="auto"/>
      </w:pPr>
      <w:r>
        <w:rPr>
          <w:rFonts w:ascii="Arial" w:hAnsi="Arial"/>
          <w:color w:val="1E293B"/>
          <w:sz w:val="20"/>
        </w:rPr>
        <w:t>1.  **Rapat Umum Pemegang Saham (RUPS) (Pasal 75 s/d 91 UU PT):**</w:t>
      </w:r>
    </w:p>
    <w:p>
      <w:pPr>
        <w:spacing w:before="0" w:after="80" w:line="276" w:lineRule="auto"/>
      </w:pPr>
      <w:r>
        <w:rPr>
          <w:rFonts w:ascii="Arial" w:hAnsi="Arial"/>
          <w:color w:val="1E293B"/>
          <w:sz w:val="20"/>
        </w:rPr>
        <w:t xml:space="preserve">    *   Organ yang memegang wewenang yang tidak diberikan kepada Direksi atau Dewan Komisaris dalam batas yang ditentukan UU PT atau Anggaran Dasar.</w:t>
      </w:r>
    </w:p>
    <w:p>
      <w:pPr>
        <w:spacing w:before="0" w:after="80" w:line="276" w:lineRule="auto"/>
      </w:pPr>
      <w:r>
        <w:rPr>
          <w:rFonts w:ascii="Arial" w:hAnsi="Arial"/>
          <w:color w:val="1E293B"/>
          <w:sz w:val="20"/>
        </w:rPr>
        <w:t xml:space="preserve">    *   Berwenang mengangkat/memberhentikan Direksi dan Dewan Komisaris, menyetujui perubahan Anggaran Dasar, pembagian dividen, merger/akuisisi/likuidasi, dan menyetujui Laporan Tahunan.</w:t>
      </w:r>
    </w:p>
    <w:p>
      <w:pPr>
        <w:spacing w:before="0" w:after="80"/>
      </w:pPr>
    </w:p>
    <w:p>
      <w:pPr>
        <w:spacing w:before="0" w:after="80" w:line="276" w:lineRule="auto"/>
      </w:pPr>
      <w:r>
        <w:rPr>
          <w:rFonts w:ascii="Arial" w:hAnsi="Arial"/>
          <w:color w:val="1E293B"/>
          <w:sz w:val="20"/>
        </w:rPr>
        <w:t>2.  **Direksi (Pasal 92 s/d 107 UU PT):**</w:t>
      </w:r>
    </w:p>
    <w:p>
      <w:pPr>
        <w:spacing w:before="0" w:after="80" w:line="276" w:lineRule="auto"/>
      </w:pPr>
      <w:r>
        <w:rPr>
          <w:rFonts w:ascii="Arial" w:hAnsi="Arial"/>
          <w:color w:val="1E293B"/>
          <w:sz w:val="20"/>
        </w:rPr>
        <w:t xml:space="preserve">    *   Organ yang berwenang dan bertanggung jawab penuh atas pengurusan Perseroan untuk kepentingan Perseroan sesuai dengan maksud dan tujuan Perseroan, serta mewakili Perseroan di dalam maupun di luar pengadilan.</w:t>
      </w:r>
    </w:p>
    <w:p>
      <w:pPr>
        <w:spacing w:before="0" w:after="80" w:line="276" w:lineRule="auto"/>
      </w:pPr>
      <w:r>
        <w:rPr>
          <w:rFonts w:ascii="Arial" w:hAnsi="Arial"/>
          <w:color w:val="1E293B"/>
          <w:sz w:val="20"/>
        </w:rPr>
        <w:t xml:space="preserve">    *   **Pasal 97 ayat (2) &amp; (3):** Pengurusan wajib dilakukan dengan itikad baik (*good faith*) dan penuh tanggung jawab (*fiduciary duty*). Anggota Direksi bertanggung jawab penuh secara pribadi atas kerugian Perseroan apabila yang bersangkutan bersalah atau lalai menjalankan tugasnya.</w:t>
      </w:r>
    </w:p>
    <w:p>
      <w:pPr>
        <w:spacing w:before="0" w:after="80"/>
      </w:pPr>
    </w:p>
    <w:p>
      <w:pPr>
        <w:spacing w:before="0" w:after="80" w:line="276" w:lineRule="auto"/>
      </w:pPr>
      <w:r>
        <w:rPr>
          <w:rFonts w:ascii="Arial" w:hAnsi="Arial"/>
          <w:color w:val="1E293B"/>
          <w:sz w:val="20"/>
        </w:rPr>
        <w:t>3.  **Dewan Komisaris (Pasal 108 s/d 121 UU PT):**</w:t>
      </w:r>
    </w:p>
    <w:p>
      <w:pPr>
        <w:spacing w:before="0" w:after="80" w:line="276" w:lineRule="auto"/>
      </w:pPr>
      <w:r>
        <w:rPr>
          <w:rFonts w:ascii="Arial" w:hAnsi="Arial"/>
          <w:color w:val="1E293B"/>
          <w:sz w:val="20"/>
        </w:rPr>
        <w:t xml:space="preserve">    *   Organ yang bertugas melakukan pengawasan secara umum dan/atau khusus sesuai dengan Anggaran Dasar serta memberikan nasihat kepada Direksi.</w:t>
      </w:r>
    </w:p>
    <w:p>
      <w:pPr>
        <w:spacing w:before="0" w:after="80" w:line="276" w:lineRule="auto"/>
      </w:pPr>
      <w:r>
        <w:rPr>
          <w:rFonts w:ascii="Arial" w:hAnsi="Arial"/>
          <w:color w:val="1E293B"/>
          <w:sz w:val="20"/>
        </w:rPr>
        <w:t xml:space="preserve">    *   **Pasal 114 ayat (3):** Setiap anggota Dewan Komisaris ikut bertanggung jawab secara pribadi atas kerugian Perseroan apabila lalai dalam menjalankan tugas pengawasannya dengan itikad baik dan kehati-hatian (*duty of care*).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Tanggung Jawab Sosial dan Lingkungan (TJSL / CSR)</w:t>
      </w:r>
    </w:p>
    <w:p>
      <w:pPr>
        <w:spacing w:before="0" w:after="80" w:line="276" w:lineRule="auto"/>
      </w:pPr>
      <w:r>
        <w:rPr>
          <w:rFonts w:ascii="Arial" w:hAnsi="Arial"/>
          <w:color w:val="1E293B"/>
          <w:sz w:val="20"/>
        </w:rPr>
        <w:t>Berdasarkan **Pasal 74 UU PT**, Perseroan yang menjalankan kegiatan usahanya di bidang dan/atau berkaitan dengan sumber daya alam wajib melaksanakan Tanggung Jawab Sosial dan Lingkungan, yang dianggarkan dan diperhitungkan sebagai biaya Perseroan. Kelalaian atas pemenuhan kewajiban ini dikenai sanksi sesuai dengan ketentuan peraturan perundang-undangan terkait.</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Panduan Kepatuhan Praktis</w:t>
      </w:r>
    </w:p>
    <w:p>
      <w:pPr>
        <w:spacing w:before="0" w:after="80" w:line="276" w:lineRule="auto"/>
      </w:pPr>
      <w:r>
        <w:rPr>
          <w:rFonts w:ascii="Arial" w:hAnsi="Arial"/>
          <w:color w:val="1E293B"/>
          <w:sz w:val="20"/>
        </w:rPr>
        <w:t>1.  **Rapat Tahunan dan Laporan:** Direksi wajib menyampaikan Laporan Tahunan kepada RUPS paling lambat 6 (enam) bulan setelah tahun buku Perseroan berakhir (Pasal 66 ayat (1)).</w:t>
      </w:r>
    </w:p>
    <w:p>
      <w:pPr>
        <w:spacing w:before="0" w:after="80" w:line="276" w:lineRule="auto"/>
      </w:pPr>
      <w:r>
        <w:rPr>
          <w:rFonts w:ascii="Arial" w:hAnsi="Arial"/>
          <w:color w:val="1E293B"/>
          <w:sz w:val="20"/>
        </w:rPr>
        <w:t>2.  **Persetujuan RUPS untuk Tindakan Tertentu:** Direksi wajib memperoleh persetujuan RUPS untuk mengalihkan atau menjadikan jaminan utang seluruh atau lebih dari 50% (lima puluh persen) kekayaan bersih Perseroan (Pasal 102 ayat (1)).</w:t>
      </w:r>
    </w:p>
    <w:p>
      <w:pPr>
        <w:spacing w:before="0" w:after="80" w:line="276" w:lineRule="auto"/>
      </w:pPr>
      <w:r>
        <w:rPr>
          <w:rFonts w:ascii="Arial" w:hAnsi="Arial"/>
          <w:color w:val="1E293B"/>
          <w:sz w:val="20"/>
        </w:rPr>
        <w:t>3.  **Kepatuhan Klasifikasi Baku Lapangan Usaha Indonesia (KBLI):** Memastikan seluruh maksud dan tujuan kegiatan usaha dalam Anggaran Dasar telah diselaraskan dengan sistem *Online Single Submission Risk-Based Approach* (OSS-RBA) berdasarkan PP No. 5/2021.</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0" w:after="80" w:line="276" w:lineRule="auto"/>
      </w:pPr>
      <w:r>
        <w:rPr>
          <w:rFonts w:ascii="Arial" w:hAnsi="Arial"/>
          <w:color w:val="1E293B"/>
          <w:sz w:val="20"/>
        </w:rPr>
        <w:t>**法定依据：**</w:t>
      </w:r>
    </w:p>
    <w:p>
      <w:pPr>
        <w:spacing w:before="0" w:after="80" w:line="276" w:lineRule="auto"/>
      </w:pPr>
      <w:r>
        <w:rPr>
          <w:rFonts w:ascii="Arial" w:hAnsi="Arial"/>
          <w:b/>
          <w:color w:val="0F172A"/>
          <w:sz w:val="21"/>
        </w:rPr>
        <w:t>*   印度尼西亚共和国2007年第40号《有限责任公司法》（简称“《公司法》”或“UU PT”）。</w:t>
      </w:r>
    </w:p>
    <w:p>
      <w:pPr>
        <w:spacing w:before="0" w:after="80" w:line="276" w:lineRule="auto"/>
      </w:pPr>
      <w:r>
        <w:rPr>
          <w:rFonts w:ascii="Arial" w:hAnsi="Arial"/>
          <w:color w:val="1E293B"/>
          <w:sz w:val="20"/>
        </w:rPr>
        <w:t>*   印度尼西亚2023年第6号法律，关于将2022年第2号关于创造就业的政府替代条例确认为法律（简称“《创造就业法》”——公司法板块）。</w:t>
      </w:r>
    </w:p>
    <w:p>
      <w:pPr>
        <w:spacing w:before="0" w:after="80" w:line="276" w:lineRule="auto"/>
      </w:pPr>
      <w:r>
        <w:rPr>
          <w:rFonts w:ascii="Arial" w:hAnsi="Arial"/>
          <w:color w:val="1E293B"/>
          <w:sz w:val="20"/>
        </w:rPr>
        <w:t>*   印度尼西亚共和国2021年第8号政府条例，关于公司法定资本及符合微型与小型企业标准的公司的设立、变更和解散登记。</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1. 有限责任公司的定义与法人特征</w:t>
      </w:r>
    </w:p>
    <w:p>
      <w:pPr>
        <w:spacing w:before="0" w:after="80" w:line="276" w:lineRule="auto"/>
      </w:pPr>
      <w:r>
        <w:rPr>
          <w:rFonts w:ascii="Arial" w:hAnsi="Arial"/>
          <w:color w:val="1E293B"/>
          <w:sz w:val="20"/>
        </w:rPr>
        <w:t>根据**《公司法》第1条第1款结合《创造就业法》**之规定，有限责任公司（*Perseroan Terbatas/PT*）是指作为资本联合体的法人，依法通过协议设立，其法定资本全部划分为股份并开展经营活动；亦包括符合《创造就业法》相关法律法规规定的微型与小型企业（UMK）个人法人公司。</w:t>
      </w:r>
    </w:p>
    <w:p>
      <w:pPr>
        <w:spacing w:before="0" w:after="80"/>
      </w:pPr>
    </w:p>
    <w:p>
      <w:pPr>
        <w:spacing w:before="0" w:after="80" w:line="276" w:lineRule="auto"/>
      </w:pPr>
      <w:r>
        <w:rPr>
          <w:rFonts w:ascii="Arial" w:hAnsi="Arial"/>
          <w:color w:val="1E293B"/>
          <w:sz w:val="20"/>
        </w:rPr>
        <w:t>**有限责任原则（*Limited Liability*）及其例外（刺破公司面纱 / *Piercing the Corporate Veil*）：**</w:t>
      </w:r>
    </w:p>
    <w:p>
      <w:pPr>
        <w:spacing w:before="0" w:after="80" w:line="276" w:lineRule="auto"/>
      </w:pPr>
      <w:r>
        <w:rPr>
          <w:rFonts w:ascii="Arial" w:hAnsi="Arial"/>
          <w:color w:val="1E293B"/>
          <w:sz w:val="20"/>
        </w:rPr>
        <w:t>*   **《公司法》第3条第1款：** 公司股东对以公司名义产生的债务不承担个人连带责任，且对公司的亏损仅以其所认持的股份份额为限承担责任。</w:t>
      </w:r>
    </w:p>
    <w:p>
      <w:pPr>
        <w:spacing w:before="0" w:after="80" w:line="276" w:lineRule="auto"/>
      </w:pPr>
      <w:r>
        <w:rPr>
          <w:rFonts w:ascii="Arial" w:hAnsi="Arial"/>
          <w:color w:val="1E293B"/>
          <w:sz w:val="20"/>
        </w:rPr>
        <w:t>*   **《公司法》第3条第2款：** 若出现下列情形，股东的有限责任保护原则即告失效（法人人格否认）：</w:t>
      </w:r>
    </w:p>
    <w:p>
      <w:pPr>
        <w:spacing w:before="0" w:after="80" w:line="276" w:lineRule="auto"/>
      </w:pPr>
      <w:r>
        <w:rPr>
          <w:rFonts w:ascii="Arial" w:hAnsi="Arial"/>
          <w:color w:val="1E293B"/>
          <w:sz w:val="20"/>
        </w:rPr>
        <w:t xml:space="preserve">    1. 公司作为法人的法定设立条件尚未完成或未获满足；</w:t>
      </w:r>
    </w:p>
    <w:p>
      <w:pPr>
        <w:spacing w:before="0" w:after="80" w:line="276" w:lineRule="auto"/>
      </w:pPr>
      <w:r>
        <w:rPr>
          <w:rFonts w:ascii="Arial" w:hAnsi="Arial"/>
          <w:color w:val="1E293B"/>
          <w:sz w:val="20"/>
        </w:rPr>
        <w:t xml:space="preserve">    2. 相关股东直接或间接出于恶意，纯粹为个人利益利用公司；</w:t>
      </w:r>
    </w:p>
    <w:p>
      <w:pPr>
        <w:spacing w:before="0" w:after="80" w:line="276" w:lineRule="auto"/>
      </w:pPr>
      <w:r>
        <w:rPr>
          <w:rFonts w:ascii="Arial" w:hAnsi="Arial"/>
          <w:color w:val="1E293B"/>
          <w:sz w:val="20"/>
        </w:rPr>
        <w:t xml:space="preserve">    3. 股东参与了公司所实施的非法侵权行为（违法行为）；或</w:t>
      </w:r>
    </w:p>
    <w:p>
      <w:pPr>
        <w:spacing w:before="0" w:after="80" w:line="276" w:lineRule="auto"/>
      </w:pPr>
      <w:r>
        <w:rPr>
          <w:rFonts w:ascii="Arial" w:hAnsi="Arial"/>
          <w:color w:val="1E293B"/>
          <w:sz w:val="20"/>
        </w:rPr>
        <w:t xml:space="preserve">    4. 股东非法动用或侵占公司财产，直接导致公司资产不足以清偿其到期债务。</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设立、资本与股份规定</w:t>
      </w:r>
    </w:p>
    <w:p>
      <w:pPr>
        <w:spacing w:before="0" w:after="80" w:line="276" w:lineRule="auto"/>
      </w:pPr>
      <w:r>
        <w:rPr>
          <w:rFonts w:ascii="Arial" w:hAnsi="Arial"/>
          <w:color w:val="1E293B"/>
          <w:sz w:val="20"/>
        </w:rPr>
        <w:t>*   **公司设立（《公司法》第7条）：** 须由2名（含）以上发起人签署印尼语公证契约设立。在印尼法律与人权部（Menkumham）完成登记并获得批准决定书后，正式取得法人资格。</w:t>
      </w:r>
    </w:p>
    <w:p>
      <w:pPr>
        <w:spacing w:before="0" w:after="80" w:line="276" w:lineRule="auto"/>
      </w:pPr>
      <w:r>
        <w:rPr>
          <w:rFonts w:ascii="Arial" w:hAnsi="Arial"/>
          <w:b/>
          <w:color w:val="0F172A"/>
          <w:sz w:val="21"/>
        </w:rPr>
        <w:t xml:space="preserve">    *   *《创造就业法》特例：* 微型与小型企业（UMK）的“个人独资有限责任公司”可由1名自然人凭设立声明书直接设立，无须公证契约。</w:t>
      </w:r>
    </w:p>
    <w:p>
      <w:pPr>
        <w:spacing w:before="0" w:after="80" w:line="276" w:lineRule="auto"/>
      </w:pPr>
      <w:r>
        <w:rPr>
          <w:rFonts w:ascii="Arial" w:hAnsi="Arial"/>
          <w:color w:val="1E293B"/>
          <w:sz w:val="20"/>
        </w:rPr>
        <w:t>*   **资本要求（《公司法》第31条、第32条结合《创造就业法》）：**</w:t>
      </w:r>
    </w:p>
    <w:p>
      <w:pPr>
        <w:spacing w:before="0" w:after="80" w:line="276" w:lineRule="auto"/>
      </w:pPr>
      <w:r>
        <w:rPr>
          <w:rFonts w:ascii="Arial" w:hAnsi="Arial"/>
          <w:color w:val="1E293B"/>
          <w:sz w:val="20"/>
        </w:rPr>
        <w:t xml:space="preserve">    *   公司资本包括：法定资本（*Modal Dasar*）、认缴资本（*Modal Ditempatkan*）及实缴资本（*Modal Disetor*）。</w:t>
      </w:r>
    </w:p>
    <w:p>
      <w:pPr>
        <w:spacing w:before="0" w:after="80" w:line="276" w:lineRule="auto"/>
      </w:pPr>
      <w:r>
        <w:rPr>
          <w:rFonts w:ascii="Arial" w:hAnsi="Arial"/>
          <w:color w:val="1E293B"/>
          <w:sz w:val="20"/>
        </w:rPr>
        <w:t xml:space="preserve">    *   法定资本总额由公司发起人/股东自行协商约定（取消了以往最低5,000万印尼盾的硬性门槛限制）。</w:t>
      </w:r>
    </w:p>
    <w:p>
      <w:pPr>
        <w:spacing w:before="0" w:after="80" w:line="276" w:lineRule="auto"/>
      </w:pPr>
      <w:r>
        <w:rPr>
          <w:rFonts w:ascii="Arial" w:hAnsi="Arial"/>
          <w:color w:val="1E293B"/>
          <w:sz w:val="20"/>
        </w:rPr>
        <w:t xml:space="preserve">    *   **第33条第1款：** 法定资本中至少25%（百分之二十五）必须足额认缴并实际出资到位，且须附具合法有效的注资证明凭证。</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公司治理结构（三权分立治理体系）</w:t>
      </w:r>
    </w:p>
    <w:p>
      <w:pPr>
        <w:spacing w:before="0" w:after="80" w:line="276" w:lineRule="auto"/>
      </w:pPr>
      <w:r>
        <w:rPr>
          <w:rFonts w:ascii="Arial" w:hAnsi="Arial"/>
          <w:color w:val="1E293B"/>
          <w:sz w:val="20"/>
        </w:rPr>
        <w:t>印尼《公司法》规定了公司治理的三方权能结构：</w:t>
      </w:r>
    </w:p>
    <w:p>
      <w:pPr>
        <w:spacing w:before="0" w:after="80"/>
      </w:pPr>
    </w:p>
    <w:p>
      <w:pPr>
        <w:spacing w:before="0" w:after="80" w:line="276" w:lineRule="auto"/>
      </w:pPr>
      <w:r>
        <w:rPr>
          <w:rFonts w:ascii="Arial" w:hAnsi="Arial"/>
          <w:b/>
          <w:color w:val="0F172A"/>
          <w:sz w:val="21"/>
        </w:rPr>
        <w:t>1.  **股东大会（RUPS）（《公司法》第75条至第91条）：**</w:t>
      </w:r>
    </w:p>
    <w:p>
      <w:pPr>
        <w:spacing w:before="0" w:after="80" w:line="276" w:lineRule="auto"/>
      </w:pPr>
      <w:r>
        <w:rPr>
          <w:rFonts w:ascii="Arial" w:hAnsi="Arial"/>
          <w:color w:val="1E293B"/>
          <w:sz w:val="20"/>
        </w:rPr>
        <w:t xml:space="preserve">    *   拥有《公司法》或公司章程未明确赋予董事会或监事会的最高权力法定机构。</w:t>
      </w:r>
    </w:p>
    <w:p>
      <w:pPr>
        <w:spacing w:before="0" w:after="80" w:line="276" w:lineRule="auto"/>
      </w:pPr>
      <w:r>
        <w:rPr>
          <w:rFonts w:ascii="Arial" w:hAnsi="Arial"/>
          <w:color w:val="1E293B"/>
          <w:sz w:val="20"/>
        </w:rPr>
        <w:t xml:space="preserve">    *   有权任免董事会及监事会成员、批准修改公司章程、决定股利分配、审批合并/分立/收购/清算方案，以及审议通过年度财务报告。</w:t>
      </w:r>
    </w:p>
    <w:p>
      <w:pPr>
        <w:spacing w:before="0" w:after="80"/>
      </w:pPr>
    </w:p>
    <w:p>
      <w:pPr>
        <w:spacing w:before="0" w:after="80" w:line="276" w:lineRule="auto"/>
      </w:pPr>
      <w:r>
        <w:rPr>
          <w:rFonts w:ascii="Arial" w:hAnsi="Arial"/>
          <w:color w:val="1E293B"/>
          <w:sz w:val="20"/>
        </w:rPr>
        <w:t>2.  **董事会（Direksi）（《公司法》第92条至第107条）：**</w:t>
      </w:r>
    </w:p>
    <w:p>
      <w:pPr>
        <w:spacing w:before="0" w:after="80" w:line="276" w:lineRule="auto"/>
      </w:pPr>
      <w:r>
        <w:rPr>
          <w:rFonts w:ascii="Arial" w:hAnsi="Arial"/>
          <w:color w:val="1E293B"/>
          <w:sz w:val="20"/>
        </w:rPr>
        <w:t xml:space="preserve">    *   全面负责公司的日常经营管理，以符合公司宗旨与利益为导向开展业务，并在法庭内外全权代表公司。</w:t>
      </w:r>
    </w:p>
    <w:p>
      <w:pPr>
        <w:spacing w:before="0" w:after="80" w:line="276" w:lineRule="auto"/>
      </w:pPr>
      <w:r>
        <w:rPr>
          <w:rFonts w:ascii="Arial" w:hAnsi="Arial"/>
          <w:color w:val="1E293B"/>
          <w:sz w:val="20"/>
        </w:rPr>
        <w:t xml:space="preserve">    *   **第97条第2款及第3款：** 董事必须秉持善意（*good faith*）及勤勉尽责/信义义务（*fiduciary duty*）履行职责。若因董事个人过错或重大过失导致公司遭受损失，该董事须承担无限个人赔偿责任。</w:t>
      </w:r>
    </w:p>
    <w:p>
      <w:pPr>
        <w:spacing w:before="0" w:after="80"/>
      </w:pPr>
    </w:p>
    <w:p>
      <w:pPr>
        <w:spacing w:before="0" w:after="80" w:line="276" w:lineRule="auto"/>
      </w:pPr>
      <w:r>
        <w:rPr>
          <w:rFonts w:ascii="Arial" w:hAnsi="Arial"/>
          <w:color w:val="1E293B"/>
          <w:sz w:val="20"/>
        </w:rPr>
        <w:t>3.  **监事会（Dewan Komisaris）（《公司法》第108条至第121条）：**</w:t>
      </w:r>
    </w:p>
    <w:p>
      <w:pPr>
        <w:spacing w:before="0" w:after="80" w:line="276" w:lineRule="auto"/>
      </w:pPr>
      <w:r>
        <w:rPr>
          <w:rFonts w:ascii="Arial" w:hAnsi="Arial"/>
          <w:color w:val="1E293B"/>
          <w:sz w:val="20"/>
        </w:rPr>
        <w:t xml:space="preserve">    *   负责依照公司章程对董事会的经营管理进行一般性及/或专项监督，并向董事会提供合规与战略咨询意见。</w:t>
      </w:r>
    </w:p>
    <w:p>
      <w:pPr>
        <w:spacing w:before="0" w:after="80" w:line="276" w:lineRule="auto"/>
      </w:pPr>
      <w:r>
        <w:rPr>
          <w:rFonts w:ascii="Arial" w:hAnsi="Arial"/>
          <w:color w:val="1E293B"/>
          <w:sz w:val="20"/>
        </w:rPr>
        <w:t xml:space="preserve">    *   **第114条第3款：** 监事若在履行监督职责时未尽到善意与谨慎注意义务（*duty of care*）而致使公司受损，各违职监事须承担个人连带赔偿责任。</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企业社会与环境责任（CSR / TJSL）</w:t>
      </w:r>
    </w:p>
    <w:p>
      <w:pPr>
        <w:spacing w:before="0" w:after="80" w:line="276" w:lineRule="auto"/>
      </w:pPr>
      <w:r>
        <w:rPr>
          <w:rFonts w:ascii="Arial" w:hAnsi="Arial"/>
          <w:color w:val="1E293B"/>
          <w:sz w:val="20"/>
        </w:rPr>
        <w:t>根据**《公司法》第74条**，在自然资源领域及/或与自然资源相关领域开展经营业务的公司，必须依法履行企业社会与环境责任（CSR）。该项支出必须列入公司的经营成本预算。未履行该法定义务的公司将依法面临相应的行政及法律制裁。</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实用合规指引</w:t>
      </w:r>
    </w:p>
    <w:p>
      <w:pPr>
        <w:spacing w:before="0" w:after="80" w:line="276" w:lineRule="auto"/>
      </w:pPr>
      <w:r>
        <w:rPr>
          <w:rFonts w:ascii="Arial" w:hAnsi="Arial"/>
          <w:color w:val="1E293B"/>
          <w:sz w:val="20"/>
        </w:rPr>
        <w:t>1.  **年度报表与年度股东大会：** 董事会必须在公司每个财政年度结束后最迟6（六）个月内，向股东大会提呈年度运营与财务审计报告（第66条第1款）。</w:t>
      </w:r>
    </w:p>
    <w:p>
      <w:pPr>
        <w:spacing w:before="0" w:after="80" w:line="276" w:lineRule="auto"/>
      </w:pPr>
      <w:r>
        <w:rPr>
          <w:rFonts w:ascii="Arial" w:hAnsi="Arial"/>
          <w:color w:val="1E293B"/>
          <w:sz w:val="20"/>
        </w:rPr>
        <w:t>2.  **重大资产处分的股东会审批：** 董事会对占公司净资产50%（百分之五十）以上的资产进行转让或设定担保质押时，必须预先取得股东大会的特别决议批准（第102条第1款）。</w:t>
      </w:r>
    </w:p>
    <w:p>
      <w:pPr>
        <w:spacing w:before="0" w:after="80" w:line="276" w:lineRule="auto"/>
      </w:pPr>
      <w:r>
        <w:rPr>
          <w:rFonts w:ascii="Arial" w:hAnsi="Arial"/>
          <w:color w:val="1E293B"/>
          <w:sz w:val="20"/>
        </w:rPr>
        <w:t>3.  **印尼标准行业分类（KBLI）合规：** 公司章程中的经营范围及业务活动必须严格对照印尼2021年第5号政府条例，在基于风险的在线单一提交系统（OSS-RBA）中完成精准匹配与投资许可备案。</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