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"UU No. 5 Tahun 1960 Pokok Agraria Hak Milik HGB PMA"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Dalam yurisdiksi hukum pertanahan Indonesia yang didasarkan pada **Undang-Undang No. 5 Tahun 1960 tentang Peraturan Dasar Pokok-Pokok Agraria (UUPA)**, prinsip nasionalitas (*nationality principle*) membatasi hak penguasaan atas tanah bagi entitas asing, termasuk perusahaan Penanaman Modal Asing (PT PMA).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I. STATUS SUBJEK HUKUM PT PMA TERHADAP HAK ATAS TANAH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Berdasarkan **Pasal 1 angka 3 Undang-Undang No. 25 Tahun 2007 tentang Penanaman Modal (UU PM)** juncto **Pasal 1 angka 1 Undang-Undang No. 40 Tahun 2007 tentang Perseroan Terbatas (UU PT)** sebagaimana diubah oleh **UU No. 6 Tahun 2023 (UU Cipta Kerja)**: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PT PMA berstatus sebagai badan hukum perdata Indonesia (*Indonesian legal entity*) yang berkedudukan di Indonesia.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Meskipun berstatus badan hukum Indonesia, kepemilikan modalnya—baik sebagian maupun seluruhnya—dimiliki oleh investor asing, sehingga kapasitas penguasaan tanahnya tunduk pada pembatasan yuridis perdata pertanahan.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II. ANALISIS YURIDIS: HAK MILIK DAN LARANGAN BAGI PT PMA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**Eksklusivitas Hak Milik:**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21 ayat (1) UUPA:**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*"Hanya warga-negara Indonesia dapat mempunyai hak milik."*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21 ayat (2) UUPA juncto Peraturan Pemerintah No. 38 Tahun 1963:**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Badan hukum pada prinsipnya dilarang memiliki Hak Milik, kecuali badan hukum tertentu yang ditetapkan secara limitatif oleh pemerintah (misalnya: bank pemerintah, koperasi pertanian, badan keagamaan, dan badan sosial).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**Kesimpulan:** PT PMA secara absolut **TIDAK DAPAT** memiliki tanah dengan status Hak Milik.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**Sanksi Hukum dan Larangan Praktik *Nominee*:**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26 ayat (2) UUPA:**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Setiap jual beli, penukaran, penghibahan, pemberian dengan wasiat, dan perbuatan-perbuatan lain yang dimaksudkan untuk memindahkan Hak Milik kepada orang asing, kepada warga negara yang memiliki kewarganegaraan ganda, atau kepada badan hukum yang tidak ditunjuk oleh pemerintah adalah **batal demi hukum (*null and void*)**.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**Akibat Yuridis:**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Tanah tersebut jatuh kepada Negara.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Pembayaran yang telah diserahkan oleh pihak pembeli tidak dapat dituntut kembali.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Penggunaan perjanjian pinjam nama (*nominee agreement*) antara WNI dan PT PMA/orang asing dikualifikasikan sebagai penyelundupan hukum (*smuggling of law*) yang dilarang keras berdasarkan **Pasal 33 ayat (1) dan (2) UU PM**, sehingga seluruh perikatannya batal demi hukum sejak awal.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III. ANALISIS YURIDIS: HAK GUNA BANGUNAN (HGB) UNTUK PT PMA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**Kelayakan Subjek Hak (Subjek Hukum):**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36 ayat (1) UUPA:**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*"Yang dapat mempunyai hak guna bangunan ialah: a. warga-negara Indonesia; b. badan hukum yang didirikan menurut hukum Indonesia dan berkedudukan di Indonesia."*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34 ayat (1) Peraturan Pemerintah No. 18 Tahun 2021 (PP 18/2021):**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PT PMA secara tegas dikualifikasikan sebagai badan hukum Indonesia yang sah untuk memegang Hak Guna Bangunan (HGB).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**Objek Tanah HGB (Pasal 35 PP 18/2021):**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HGB untuk PT PMA dapat diberikan di atas: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Tanah Negara;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Tanah Hak Pengelolaan (HPL);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Tanah Hak Milik (berdasarkan perjanjian pemberian HGB di atas Hak Milik dengan Akta Pejabat Pembuat Akta Tanah / PPAT).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**Jangka Waktu dan Perpanjangan HGB (Pasal 37 PP 18/2021):**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HGB di atas Tanah Negara dan Tanah HPL diberikan untuk jangka waktu paling lama **30 (tiga puluh) tahun**;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Dapat diperpanjang untuk jangka waktu paling lama **20 (dua puluh) tahun**;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Dapat diperbarui untuk jangka waktu paling lama **30 (tiga puluh) tahun**.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**Total Akumulasi Perlindungan Penguasaan:** Hingga **80 (delapan puluh) tahun**.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*Catatan:* Perpanjangan dan pembaruan dapat dimohonkan sekaligus setelah HGB telah digunakan/dimanfaatkan sesuai dengan tujuan pemberian haknya.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IV. PANDUAN KEPATUHAN PRAKTIS BAGI INVESTOR PMA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**Mekanisme Perolehan Tanah Berstatus Hak Milik:**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Apabila PT PMA bermaksud mengakuisisi tanah yang saat ini berstatus Hak Milik dari perorangan (WNI), akuisisi tidak dapat dilakukan dengan Akta Jual Beli (AJB) Hak Milik.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Harus dilakukan melalui mekanisme **Pelepasan Hak / Penyerahan Hak Kepada Negara** oleh pemilik WNI di hadapan Notaris/Kantor Pertanahan (Kantah ATR/BPN), kemudian PT PMA mengajukan permohonan pemberian hak baru berupa **Hak Guna Bangunan (HGB)** kepada Menteri ATR/BPN.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**Kesesuaian Tata Ruang:**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Perolehan HGB wajib didahului dengan perolehan **Kesesuaian Kegiatan Pemanfaatan Ruang (KKPR)** melalui sistem *Online Single Submission Risk-Based Approach* (OSS-RBA) sesuai ketentuan **PP No. 5 Tahun 2021**.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**Pendaftaran Hak:**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HGB baru lahir dan sah mengikat pihak ketiga secara perdata setelah diterbitkannya Sertipikat HGB dan didaftarkan pada Buku Tanah di Kantor Pertanahan setempat sesuai **PP No. 24 Tahun 1997 tentang Pendaftaran Tanah**.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在基于**1960年第5号法律《土地基本原则法》（Undang-Undang Pokok Agraria，简称 UUPA）**的印尼土地法管辖体系下，“国籍原则”（nationality principle）对外资实体（包括外商独资/合资企业，即 PT PMA）控制和持有土地权利设定了严格的法定限制。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一、 PT PMA 作为土地权利主体的法律地位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根据**2007年第25号法律《投资法》（UU PM）**第1条第3款，结合经**2023年第6号法律（《创造就业综合法》）**修订的**2007年第40号法律《有限责任公司法》（UU PT）**第1条第1款：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PT PMA 是依法在印尼境内设立并以印尼为法定住所地的**印尼民事法人（Indonesian legal entity）**。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尽管其具备印尼法人资格，但由于其全部或部分资本由外国投资者持有，其占有和支配土地的权能受到印尼土地民法典范的严格限制。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二、 法定分析：完全所有权（HAK MILIK）对 PT PMA 的绝对禁止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**完全所有权（Hak Milik / Freehold）的主体排他性：**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* **UUPA 第21条第1款：**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“只有印尼公民方可享有完全所有权。”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* **UUPA 第21条第2款 结合 1963年第38号政府条例（PP 38/1963）：**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原则上禁止任何法人持有完全所有权，仅极少数经政府法例严格穷尽列举的特定实体除外（例如：特定国有银行、农业合作社、宗教团体及法定慈善机构）。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**结论：** PT PMA **绝对无权**持有具有“完全所有权（Hak Milik）”性质的土地。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**法律制裁与代持协议（Nominee）之绝对禁止：**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* **UUPA 第26条第2款：**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凡旨在直接或间接将完全所有权转移给外国人、双重国籍者或未经政府指定的法人的买卖、互换、赠与、遗赠及其他任何法律行为，**一律自始无效（batal demi hukum / null and void）**。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**法律后果：**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涉案土地直接归充公归国家所有；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买方已支付的对价依法无权请求返还；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外国投资者/PT PMA 与印尼公民订立的“借名/代持协议”（Nominee Agreement），被定性为规避法律的违法行为（law smuggling），依据**《投资法》第33条第1款及第2款**之规定被严厉禁止，此类协议自始不具任何法律效力。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三、 法定分析：PT PMA 合法持有的建筑使用权（HGB）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**权利主体适格性：**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* **UUPA 第36条第1款：**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&gt; “有权享有建筑使用权（Hak Guna Bangunan / HGB）的主体包括：a. 印度尼西亚公民；b. 依照印尼法律设立并在印尼境内设有法定住所的法人。”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* **2021年第18号政府条例（PP 18/2021）第34条第1款：**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  &gt; PT PMA 作为依印尼法设立的法人，被法定明确认可为合法持有建筑使用权（HGB）的合资格主体。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2. **HGB 权利客体（PP 18/2021 第35条）：**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PT PMA 可在以下三类土地上设立并取得 HGB：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国有土地（Tanah Negara）；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管理权土地（Hak Pengelolaan / HPL）；或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完全所有权土地（经土地登记官员 PPAT 签署公证协议，在印尼公民所有的 Hak Milik 上设立的派生 HGB）。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3. **HGB 的法定有效期限及延长期（PP 18/2021 第37条）：**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* 国有土地及 HPL 土地上的 HGB 首期法定最高期限为 **30年**；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到期后可申请延长，最高期限为 **20年**；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延长届满后可申请更新（Renew），最高期限为 **30年**。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**累计最长法律保障占有期限：** 合计最高可达 **80年**。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*注：* 只要土地严格按照核准用途进行了实质性开发利用，可在规定期限内合并申请延长与更新。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四、 外商投资企业（PT PMA）实务合规指引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**收购“完全所有权（Hak Milik）”土地的法定转换机制：**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若 PT PMA 拟收购印尼个人（WNI）名下的 Hak Milik 土地，**严禁**直接签署买卖契据（AJB Hak Milik）。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必须通过法定**“放弃土地权利”（Pelepasan Hak）**程序：原印尼业主在公证人/土地局（Kantah ATR/BPN）见证下签署放弃权利契据将土地交还国家，随后由 PT PMA 向印尼土地与空间规划部（ATR/BPN）正式申请将该地块新批复授予为**建筑使用权（HGB）**。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2. **空间利用合规证明（KKPR）：**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获取土地 HGB 之前，PT PMA 必须根据**2021年第5号政府条例**规定，通过“风险导向型统一在线审批系统”（OSS-RBA）取得**空间利用活动合规审批（KKPR）**。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**权利登记生效要件：**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根据**1997年第24号政府条例《土地登记条例》**，HGB 权利的物权设立以在属地土地局（Kantor Pertanahan）完成土地登记薄（Buku Tanah）登记并正式核发《建筑使用权证书》（Sertipikat HGB）为法定生效与对抗第三人的要件。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