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 No. 636 K/Pdt.Sus-PHI/2019</w:t>
      </w:r>
    </w:p>
    <w:p>
      <w:pPr>
        <w:spacing w:before="0" w:after="360"/>
        <w:jc w:val="center"/>
      </w:pPr>
      <w:r>
        <w:rPr>
          <w:rFonts w:ascii="Arial" w:hAnsi="Arial"/>
          <w:color w:val="64748B"/>
          <w:sz w:val="17"/>
        </w:rPr>
        <w:t>COURT: SUPREME COURT (MA) | TYPE: INDUSTRIAL RELATIONS | DATE: 02 July 2019</w:t>
      </w:r>
    </w:p>
    <w:p>
      <w:pPr>
        <w:spacing w:before="120" w:after="80"/>
      </w:pPr>
      <w:r>
        <w:rPr>
          <w:rFonts w:ascii="Arial" w:hAnsi="Arial"/>
          <w:b/>
          <w:color w:val="0F172A"/>
          <w:sz w:val="24"/>
        </w:rPr>
        <w:t>Invalidity of Immediate Termination Based on Accusation of Gross Fault without Criminal Judgment</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Pemutusan hubungan kerja secara serta-merta/seketika dengan alasan pekerja melakukan tindakan penipuan/penggelapan aset perusahaan tidak dapat diterapkan apabila dugaan tindak pidana tersebut belum dibuktikan di muka persidangan peradilan umum yang menghasilkan putusan berkekuatan hukum tetap. Tindakan perusahaan memutuskan kontrak seketika dipersamakan dengan PHK sepihak dengan kewajiban pembayaran pesangon penuh.</w:t>
      </w:r>
    </w:p>
    <w:p>
      <w:pPr>
        <w:spacing w:before="0" w:after="80"/>
      </w:pPr>
      <w:r>
        <w:rPr>
          <w:rFonts w:ascii="Arial" w:hAnsi="Arial"/>
          <w:color w:val="334155"/>
          <w:sz w:val="20"/>
        </w:rPr>
        <w:t>Perusahaan memberhentikan pekerja secara langsung dan seketika atas tuduhan penggelapan barang milik perusahaan tanpa menunggu putusan peradilan pidana inkracht. Mahkamah Agung menegaskan bahwa sesuai ratio decidendi Putusan MK No. 012/PUU-I/2003 dan SE Menakertrans No. SE-13/MEN/SJ-HK/I/2005, pengusaha tidak dapat secara sewenang-wenang mendasarkan PHK seketika pada kesalahan berat tanpa adanya pembuktian peradilan pidana atau pengakuan tertulis pekerja.</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yuridis komprehensif dan anotasi mendalam terhadap Putusan Mahkamah Agung Republik Indonesia Nomor 636 K/Pdt.Sus-PHI/2019.</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636 K/Pdt.Sus-PHI/2019</w:t>
      </w:r>
    </w:p>
    <w:p>
      <w:pPr>
        <w:spacing w:before="0" w:after="80"/>
      </w:pPr>
      <w:r>
        <w:rPr>
          <w:rFonts w:ascii="Arial" w:hAnsi="Arial"/>
          <w:color w:val="475569"/>
          <w:sz w:val="19"/>
        </w:rPr>
        <w:t>* **Lembaga Peradilan:** Mahkamah Agung Republik Indonesia (Kamar Perdata Khusus / Perselisihan Hubungan Industrial)</w:t>
      </w:r>
    </w:p>
    <w:p>
      <w:pPr>
        <w:spacing w:before="0" w:after="80"/>
      </w:pPr>
      <w:r>
        <w:rPr>
          <w:rFonts w:ascii="Arial" w:hAnsi="Arial"/>
          <w:color w:val="475569"/>
          <w:sz w:val="19"/>
        </w:rPr>
        <w:t>* **Tanggal Putusan:** 02 Juli 2019</w:t>
      </w:r>
    </w:p>
    <w:p>
      <w:pPr>
        <w:spacing w:before="0" w:after="80"/>
      </w:pPr>
      <w:r>
        <w:rPr>
          <w:rFonts w:ascii="Arial" w:hAnsi="Arial"/>
          <w:color w:val="475569"/>
          <w:sz w:val="19"/>
        </w:rPr>
        <w:t>* **Klasifikasi Perkara:** Perselisihan Hubungan Industrial (PHK Sepihak / Pemutusan Hubungan Kerja dengan Dalih Kesalahan Berat)</w:t>
      </w:r>
    </w:p>
    <w:p>
      <w:pPr>
        <w:spacing w:before="0" w:after="80"/>
      </w:pPr>
      <w:r>
        <w:rPr>
          <w:rFonts w:ascii="Arial" w:hAnsi="Arial"/>
          <w:color w:val="475569"/>
          <w:sz w:val="19"/>
        </w:rPr>
        <w:t>* **Majelis Hakim Pemeriksa Kasasi:**</w:t>
      </w:r>
    </w:p>
    <w:p>
      <w:pPr>
        <w:spacing w:before="0" w:after="80"/>
      </w:pPr>
      <w:r>
        <w:rPr>
          <w:rFonts w:ascii="Arial" w:hAnsi="Arial"/>
          <w:color w:val="475569"/>
          <w:sz w:val="19"/>
        </w:rPr>
        <w:t>* **Ketua Majelis:** Dr. H. Zahrul Rabain, S.H., M.H.</w:t>
      </w:r>
    </w:p>
    <w:p>
      <w:pPr>
        <w:spacing w:before="0" w:after="80"/>
      </w:pPr>
      <w:r>
        <w:rPr>
          <w:rFonts w:ascii="Arial" w:hAnsi="Arial"/>
          <w:color w:val="475569"/>
          <w:sz w:val="19"/>
        </w:rPr>
        <w:t>* **Anggota Majelis 1:** Maria Anna Samiyati, S.H., M.H.</w:t>
      </w:r>
    </w:p>
    <w:p>
      <w:pPr>
        <w:spacing w:before="0" w:after="80"/>
      </w:pPr>
      <w:r>
        <w:rPr>
          <w:rFonts w:ascii="Arial" w:hAnsi="Arial"/>
          <w:color w:val="475569"/>
          <w:sz w:val="19"/>
        </w:rPr>
        <w:t>* **Anggota Majelis 2:** H. Sugeng Santoso Pelle, S.H., M.H.</w:t>
      </w:r>
    </w:p>
    <w:p>
      <w:pPr>
        <w:spacing w:before="0" w:after="80"/>
      </w:pPr>
      <w:r>
        <w:rPr>
          <w:rFonts w:ascii="Arial" w:hAnsi="Arial"/>
          <w:color w:val="475569"/>
          <w:sz w:val="19"/>
        </w:rPr>
        <w:t>* **Panitera Pengganti:** Renaldo Yanuar, S.H., M.H.</w:t>
      </w:r>
    </w:p>
    <w:p>
      <w:pPr>
        <w:spacing w:before="0" w:after="80"/>
      </w:pPr>
      <w:r>
        <w:rPr>
          <w:rFonts w:ascii="Arial" w:hAnsi="Arial"/>
          <w:color w:val="475569"/>
          <w:sz w:val="19"/>
        </w:rPr>
        <w:t>* **Para Pihak:**</w:t>
      </w:r>
    </w:p>
    <w:p>
      <w:pPr>
        <w:spacing w:before="0" w:after="80"/>
      </w:pPr>
      <w:r>
        <w:rPr>
          <w:rFonts w:ascii="Arial" w:hAnsi="Arial"/>
          <w:color w:val="475569"/>
          <w:sz w:val="19"/>
        </w:rPr>
        <w:t>* **Pemohon Kasasi (dahulu Tergugat):** PT Indomobil Prima Niaga (diwakili oleh Direksi/Kuasa Hukum)</w:t>
      </w:r>
    </w:p>
    <w:p>
      <w:pPr>
        <w:spacing w:before="0" w:after="80"/>
      </w:pPr>
      <w:r>
        <w:rPr>
          <w:rFonts w:ascii="Arial" w:hAnsi="Arial"/>
          <w:color w:val="475569"/>
          <w:sz w:val="19"/>
        </w:rPr>
        <w:t>* **Termohon Kasasi (dahulu Penggugat):** Pekerja / Karyawan (Sdr. Triyono)</w:t>
      </w:r>
    </w:p>
    <w:p>
      <w:pPr>
        <w:spacing w:before="0" w:after="80"/>
      </w:pPr>
      <w:r>
        <w:rPr>
          <w:rFonts w:ascii="Arial" w:hAnsi="Arial"/>
          <w:color w:val="475569"/>
          <w:sz w:val="19"/>
        </w:rPr>
        <w:t>* **Sumber Resmi:** Direktori Putusan Mahkamah Agung Republik Indonesia</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1. **Inoperabilitas Klausul Kesalahan Berat Tanpa Putusan Pidana Berkekuatan Hukum Tetap (*Inkracht van Gewijsde*):**</w:t>
      </w:r>
    </w:p>
    <w:p>
      <w:pPr>
        <w:spacing w:before="0" w:after="80"/>
      </w:pPr>
      <w:r>
        <w:rPr>
          <w:rFonts w:ascii="Arial" w:hAnsi="Arial"/>
          <w:color w:val="475569"/>
          <w:sz w:val="19"/>
        </w:rPr>
        <w:t>Tindakan pengusaha yang menjatuhkan sanksi Pemutusan Hubungan Kerja (PHK) secara seketika/sepihak terhadap pekerja atas dasar tuduhan melakukan kesalahan berat (tindak pidana kejahatan dalam perusahaan, manipulasi, pencurian, atau penipuan) tanpa didasarkan pada putusan pengadilan pidana yang telah berkekuatan hukum tetap (*inkracht van gewijsde*) atau tanpa adanya pengakuan sukarela dari pekerja yang bersangkutan, adalah cacat hukum, tidak sah, dan batal demi hukum.</w:t>
      </w:r>
    </w:p>
    <w:p>
      <w:pPr>
        <w:spacing w:before="0" w:after="80"/>
      </w:pPr>
      <w:r>
        <w:rPr>
          <w:rFonts w:ascii="Arial" w:hAnsi="Arial"/>
          <w:color w:val="475569"/>
          <w:sz w:val="19"/>
        </w:rPr>
        <w:t>2. **Kepatuhan Terhadap Preseden Konstitusional (Putusan MK No. 012/PUU-I/2003):**</w:t>
      </w:r>
    </w:p>
    <w:p>
      <w:pPr>
        <w:spacing w:before="0" w:after="80"/>
      </w:pPr>
      <w:r>
        <w:rPr>
          <w:rFonts w:ascii="Arial" w:hAnsi="Arial"/>
          <w:color w:val="475569"/>
          <w:sz w:val="19"/>
        </w:rPr>
        <w:t>Ketentuan Pasal 158 Undang-Undang Nomor 13 Tahun 2003 tentang Ketenagakerjaan telah dinyatakan bertentangan dengan UUD NRI 1945 dan tidak memiliki kekuatan hukum mengikat oleh Mahkamah Konstitusi. Oleh karenanya, pengusaha dilarang mengkualifikasikan perbuatan pekerja sebagai "kesalahan berat" secara sepihak untuk menghindari kewajiban pembayaran uang pesangon dan uang penghargaan masa kerja.</w:t>
      </w:r>
    </w:p>
    <w:p>
      <w:pPr>
        <w:spacing w:before="0" w:after="80"/>
      </w:pPr>
      <w:r>
        <w:rPr>
          <w:rFonts w:ascii="Arial" w:hAnsi="Arial"/>
          <w:color w:val="475569"/>
          <w:sz w:val="19"/>
        </w:rPr>
        <w:t>3. **Konversi Dasar Hukum PHK dan Pemenuhan Hak Normatif:**</w:t>
      </w:r>
    </w:p>
    <w:p>
      <w:pPr>
        <w:spacing w:before="0" w:after="80"/>
      </w:pPr>
      <w:r>
        <w:rPr>
          <w:rFonts w:ascii="Arial" w:hAnsi="Arial"/>
          <w:color w:val="475569"/>
          <w:sz w:val="19"/>
        </w:rPr>
        <w:t>Apabila pengusaha mendalilkan adanya kesalahan berat namun tidak dapat membuktikannya melalui mekanisme peradilan pidana, maka sengketa pemutusan hubungan kerja tersebut harus dikualifikasikan sebagai PHK biasa atas dasar pelanggaran disiplin kerja (pelanggaran ketentuan Perjanjian Kerja/Peraturan Perusahaan) atau PHK atas inisiatif pengusaha, sehingga pekerja tetap berhak atas kompensasi pesangon penuh sesuai ketentuan Pasal 156 atau Pasal 161 UU No. 13/2003 (jo. penyesuaian regulasi pasca-Cipta Kerja).</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**Hubungan Kerja:**</w:t>
      </w:r>
    </w:p>
    <w:p>
      <w:pPr>
        <w:spacing w:before="0" w:after="80"/>
      </w:pPr>
      <w:r>
        <w:rPr>
          <w:rFonts w:ascii="Arial" w:hAnsi="Arial"/>
          <w:color w:val="475569"/>
          <w:sz w:val="19"/>
        </w:rPr>
        <w:t>Penggugat (Pekerja) adalah karyawan tetap pada Tergugat (Perusahaan/Pengusaha) yang telah mengabdi dengan masa kerja tertentu dengan menerima upah bulanan secara rutin.</w:t>
      </w:r>
    </w:p>
    <w:p>
      <w:pPr>
        <w:spacing w:before="0" w:after="80"/>
      </w:pPr>
      <w:r>
        <w:rPr>
          <w:rFonts w:ascii="Arial" w:hAnsi="Arial"/>
          <w:color w:val="475569"/>
          <w:sz w:val="19"/>
        </w:rPr>
        <w:t>2. **Tuduhan Kesalahan Berat &amp; Pemecatan Seketika:**</w:t>
      </w:r>
    </w:p>
    <w:p>
      <w:pPr>
        <w:spacing w:before="0" w:after="80"/>
      </w:pPr>
      <w:r>
        <w:rPr>
          <w:rFonts w:ascii="Arial" w:hAnsi="Arial"/>
          <w:color w:val="475569"/>
          <w:sz w:val="19"/>
        </w:rPr>
        <w:t>Tergugat menuduh Penggugat telah melakukan pelanggaran berat dan/atau tindakan kecurangan (*fraud*/pelanggaran integritas administratif operasional) yang dikategorikan oleh Tergugat sebagai "kesalahan berat" sebagaimana diatur dalam Peraturan Perusahaan (PP) atau Perjanjian Kerja Bersama (PKB). Berdasarkan tuduhan tersebut, Tergugat langsung menerbitkan surat keputusan PHK tanpa memberikan kompensasi pemutusan hubungan kerja yang layak (hanya memberikan uang pisah/ganti rugi minimal atau bahkan tanpa pesangon sama sekali).</w:t>
      </w:r>
    </w:p>
    <w:p>
      <w:pPr>
        <w:spacing w:before="0" w:after="80"/>
      </w:pPr>
      <w:r>
        <w:rPr>
          <w:rFonts w:ascii="Arial" w:hAnsi="Arial"/>
          <w:color w:val="475569"/>
          <w:sz w:val="19"/>
        </w:rPr>
        <w:t>3. **Sengketa &amp; Ketiadaan Vonis Pidana:**</w:t>
      </w:r>
    </w:p>
    <w:p>
      <w:pPr>
        <w:spacing w:before="0" w:after="80"/>
      </w:pPr>
      <w:r>
        <w:rPr>
          <w:rFonts w:ascii="Arial" w:hAnsi="Arial"/>
          <w:color w:val="475569"/>
          <w:sz w:val="19"/>
        </w:rPr>
        <w:t>Penggugat membantah keras tuduhan tersebut. Perusahaan tidak pernah memproses tuduhan tersebut ke ranah pidana hingga memperoleh putusan pengadilan pidana yang *inkracht*, dan Penggugat tidak pernah menandatangani pengakuan bersalah secara sukarela.</w:t>
      </w:r>
    </w:p>
    <w:p>
      <w:pPr>
        <w:spacing w:before="0" w:after="80"/>
      </w:pPr>
      <w:r>
        <w:rPr>
          <w:rFonts w:ascii="Arial" w:hAnsi="Arial"/>
          <w:color w:val="475569"/>
          <w:sz w:val="19"/>
        </w:rPr>
        <w:t>4. **Proses Mediasi Tripartit:**</w:t>
      </w:r>
    </w:p>
    <w:p>
      <w:pPr>
        <w:spacing w:before="0" w:after="80"/>
      </w:pPr>
      <w:r>
        <w:rPr>
          <w:rFonts w:ascii="Arial" w:hAnsi="Arial"/>
          <w:color w:val="475569"/>
          <w:sz w:val="19"/>
        </w:rPr>
        <w:t>Upaya bipartit mengalami jalan buntu (*deadlock*). Permasalahan berlanjut ke Dinas Ketenagakerjaan setempat (Tripartit), di mana Mediator mengeluarkan anjuran yang pada intinya menganjurkan agar perusahaan membayar hak-hak PHK pekerja, namun anjuran tersebut ditolak atau tidak dilaksanakan sepenuhnya oleh Pengusaha.</w:t>
      </w:r>
    </w:p>
    <w:p>
      <w:pPr>
        <w:spacing w:before="0" w:after="80"/>
      </w:pPr>
      <w:r>
        <w:rPr>
          <w:rFonts w:ascii="Arial" w:hAnsi="Arial"/>
          <w:color w:val="475569"/>
          <w:sz w:val="19"/>
        </w:rPr>
        <w:t>5. **Gugatan di Pengadilan Hubungan Industrial (PHI):**</w:t>
      </w:r>
    </w:p>
    <w:p>
      <w:pPr>
        <w:spacing w:before="0" w:after="80"/>
      </w:pPr>
      <w:r>
        <w:rPr>
          <w:rFonts w:ascii="Arial" w:hAnsi="Arial"/>
          <w:color w:val="475569"/>
          <w:sz w:val="19"/>
        </w:rPr>
        <w:t>Pekerja mengajukan gugatan ke PHI pada Pengadilan Negeri setempat, memohon agar PHK sepihak tersebut dinyatakan batal demi hukum atau dinyatakan putus terhitung sejak putusan berkekuatan hukum tetap, serta menghukum Tergugat untuk membayar uang pesangon, uang penghargaan masa kerja (UPMK), uang penggantian hak (UPH), dan upah proses selama masa perselisihan.</w:t>
      </w:r>
    </w:p>
    <w:p>
      <w:pPr>
        <w:spacing w:before="0" w:after="80"/>
      </w:pPr>
      <w:r>
        <w:rPr>
          <w:rFonts w:ascii="Arial" w:hAnsi="Arial"/>
          <w:color w:val="475569"/>
          <w:sz w:val="19"/>
        </w:rPr>
        <w:t>6. **Putusan Tingkat Pertama:**</w:t>
      </w:r>
    </w:p>
    <w:p>
      <w:pPr>
        <w:spacing w:before="0" w:after="80"/>
      </w:pPr>
      <w:r>
        <w:rPr>
          <w:rFonts w:ascii="Arial" w:hAnsi="Arial"/>
          <w:color w:val="475569"/>
          <w:sz w:val="19"/>
        </w:rPr>
        <w:t>Majelis Hakim PHI mengabulkan sebagian gugatan Penggugat dengan menyatakan hubungan kerja putus dan menghukum Perusahaan untuk membayar hak-hak normatif Penggugat. Tergugat tidak menerima putusan tersebut dan mengajukan permohonan Kasasi ke Mahkamah Agung.</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Mahkamah Agung dalam tingkat kasasi menolak keberatan-keberatan Pemohon Kasasi (Pengusaha) dengan pertimbangan hukum (*ratio decidendi*) sebagai berikut:</w:t>
      </w:r>
    </w:p>
    <w:p>
      <w:pPr>
        <w:spacing w:before="0" w:after="80"/>
      </w:pPr>
      <w:r>
        <w:rPr>
          <w:rFonts w:ascii="Arial" w:hAnsi="Arial"/>
          <w:color w:val="475569"/>
          <w:sz w:val="19"/>
        </w:rPr>
        <w:t>1. **Evaluasi Penerapan Hukum Judex Facti:**</w:t>
      </w:r>
    </w:p>
    <w:p>
      <w:pPr>
        <w:spacing w:before="0" w:after="80"/>
      </w:pPr>
      <w:r>
        <w:rPr>
          <w:rFonts w:ascii="Arial" w:hAnsi="Arial"/>
          <w:color w:val="475569"/>
          <w:sz w:val="19"/>
        </w:rPr>
        <w:t>Mahkamah Agung menilai bahwa Judex Facti (Pengadilan Hubungan Industrial pada Pengadilan Negeri) tidak salah menerapkan hukum. Pertimbangan Judex Facti yang menyatakan bahwa tindakan PHK sepihak yang dilakukan oleh Pemohon Kasasi tidak memenuhi syarat yuridis pemutusan hubungan kerja yang sah telah tepat dan benar secara hukum formal maupun materiel.</w:t>
      </w:r>
    </w:p>
    <w:p>
      <w:pPr>
        <w:spacing w:before="0" w:after="80"/>
      </w:pPr>
      <w:r>
        <w:rPr>
          <w:rFonts w:ascii="Arial" w:hAnsi="Arial"/>
          <w:color w:val="475569"/>
          <w:sz w:val="19"/>
        </w:rPr>
        <w:t>2. **Asas Praduga Tak Bersalah (*Presumption of Innocence*):**</w:t>
      </w:r>
    </w:p>
    <w:p>
      <w:pPr>
        <w:spacing w:before="0" w:after="80"/>
      </w:pPr>
      <w:r>
        <w:rPr>
          <w:rFonts w:ascii="Arial" w:hAnsi="Arial"/>
          <w:color w:val="475569"/>
          <w:sz w:val="19"/>
        </w:rPr>
        <w:t>Menuduh pekerja melakukan tindak pidana atau perbuatan curang yang merugikan perusahaan memerlukan pembuktian materiil di hadapan forum peradilan yang berwenang (Pengadilan Negeri - Pidana). Majelis Hakim menegaskan bahwa perusahaan tidak berwenang bertindak sebagai aparat penegak hukum yang secara sepihak memvonis pekerjanya telah melakukan kesalahan berat kualifikasi pidana. Tanpa adanya putusan pidana yang telah berkekuatan hukum tetap, pekerja harus tetap dianggap tidak bersalah (*presumption of innocence*).</w:t>
      </w:r>
    </w:p>
    <w:p>
      <w:pPr>
        <w:spacing w:before="0" w:after="80"/>
      </w:pPr>
      <w:r>
        <w:rPr>
          <w:rFonts w:ascii="Arial" w:hAnsi="Arial"/>
          <w:color w:val="475569"/>
          <w:sz w:val="19"/>
        </w:rPr>
        <w:t>3. **Pemberlakuan Surat Edaran Mahkamah Agung (SEMA):**</w:t>
      </w:r>
    </w:p>
    <w:p>
      <w:pPr>
        <w:spacing w:before="0" w:after="80"/>
      </w:pPr>
      <w:r>
        <w:rPr>
          <w:rFonts w:ascii="Arial" w:hAnsi="Arial"/>
          <w:color w:val="475569"/>
          <w:sz w:val="19"/>
        </w:rPr>
        <w:t>Berdasarkan Rumusan Hukum Kamar Perdata Khusus MA (antara lain SEMA No. 3 Tahun 2015 dan penguatannya pada SEMA No. 3 Tahun 2018), pemutusan hubungan kerja dengan alasan kesalahan berat hanya dapat dilakukan apabila:</w:t>
      </w:r>
    </w:p>
    <w:p>
      <w:pPr>
        <w:spacing w:before="0" w:after="80"/>
      </w:pPr>
      <w:r>
        <w:rPr>
          <w:rFonts w:ascii="Arial" w:hAnsi="Arial"/>
          <w:color w:val="475569"/>
          <w:sz w:val="19"/>
        </w:rPr>
        <w:t>* Pekerja tertangkap tangan melakukan tindak pidana; ATAU</w:t>
      </w:r>
    </w:p>
    <w:p>
      <w:pPr>
        <w:spacing w:before="0" w:after="80"/>
      </w:pPr>
      <w:r>
        <w:rPr>
          <w:rFonts w:ascii="Arial" w:hAnsi="Arial"/>
          <w:color w:val="475569"/>
          <w:sz w:val="19"/>
        </w:rPr>
        <w:t>* Pekerja mengakui kesalahannya secara tertulis; ATAU</w:t>
      </w:r>
    </w:p>
    <w:p>
      <w:pPr>
        <w:spacing w:before="0" w:after="80"/>
      </w:pPr>
      <w:r>
        <w:rPr>
          <w:rFonts w:ascii="Arial" w:hAnsi="Arial"/>
          <w:color w:val="475569"/>
          <w:sz w:val="19"/>
        </w:rPr>
        <w:t>* Telah ada putusan pengadilan pidana yang berkekuatan hukum tetap (*inkracht van gewijsde*).</w:t>
      </w:r>
    </w:p>
    <w:p>
      <w:pPr>
        <w:spacing w:before="0" w:after="80"/>
      </w:pPr>
      <w:r>
        <w:rPr>
          <w:rFonts w:ascii="Arial" w:hAnsi="Arial"/>
          <w:color w:val="475569"/>
          <w:sz w:val="19"/>
        </w:rPr>
        <w:t>Oleh karena fakta di persidangan menunjukkan bahwa pekerja tidak tertangkap tangan, tidak membuat pengakuan tertulis, dan tidak ada putusan peradilan pidana, maka dalil Pemohon Kasasi bahwa PHK didasarkan pada kesalahan berat gugur demi hukum.</w:t>
      </w:r>
    </w:p>
    <w:p>
      <w:pPr>
        <w:spacing w:before="0" w:after="80"/>
      </w:pPr>
      <w:r>
        <w:rPr>
          <w:rFonts w:ascii="Arial" w:hAnsi="Arial"/>
          <w:color w:val="475569"/>
          <w:sz w:val="19"/>
        </w:rPr>
        <w:t>4. **Konsekuensi Yuridis Terhadap Kompensasi PHK:**</w:t>
      </w:r>
    </w:p>
    <w:p>
      <w:pPr>
        <w:spacing w:before="0" w:after="80"/>
      </w:pPr>
      <w:r>
        <w:rPr>
          <w:rFonts w:ascii="Arial" w:hAnsi="Arial"/>
          <w:color w:val="475569"/>
          <w:sz w:val="19"/>
        </w:rPr>
        <w:t>Karena tuduhan kesalahan berat tidak terbukti secara hukum peradilan pidana, maka PHK yang terjadi dikualifikasikan sebagai PHK yang timbul karena kehendak pengusaha/pelanggaran biasa, sehingga Pemohon Kasasi diwajibkan secara hukum untuk membayar hak-hak pekerja berupa uang pesangon, uang penghargaan masa kerja, dan uang penggantian hak sebagaimana diatur dalam Pasal 156 UU Ketenagakerjaan.</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**MENGADILI:**</w:t>
      </w:r>
    </w:p>
    <w:p>
      <w:pPr>
        <w:spacing w:before="0" w:after="80"/>
      </w:pPr>
      <w:r>
        <w:rPr>
          <w:rFonts w:ascii="Arial" w:hAnsi="Arial"/>
          <w:color w:val="475569"/>
          <w:sz w:val="19"/>
        </w:rPr>
        <w:t>1. **Menolak** permohonan kasasi dari Pemohon Kasasi: **PT INDOMOBIL PRIMA NIAGA** tersebut;</w:t>
      </w:r>
    </w:p>
    <w:p>
      <w:pPr>
        <w:spacing w:before="0" w:after="80"/>
      </w:pPr>
      <w:r>
        <w:rPr>
          <w:rFonts w:ascii="Arial" w:hAnsi="Arial"/>
          <w:color w:val="475569"/>
          <w:sz w:val="19"/>
        </w:rPr>
        <w:t>2. Memperbaiki amar putusan Pengadilan Hubungan Industrial pada Pengadilan Negeri terkait penghitungan hak-hak kompensasi normatif;</w:t>
      </w:r>
    </w:p>
    <w:p>
      <w:pPr>
        <w:spacing w:before="0" w:after="80"/>
      </w:pPr>
      <w:r>
        <w:rPr>
          <w:rFonts w:ascii="Arial" w:hAnsi="Arial"/>
          <w:color w:val="475569"/>
          <w:sz w:val="19"/>
        </w:rPr>
        <w:t>3. **Menghukum** Pemohon Kasasi untuk membayar hak-hak pemutusan hubungan kerja kepada Termohon Kasasi (Pekerja) yang meliputi:</w:t>
      </w:r>
    </w:p>
    <w:p>
      <w:pPr>
        <w:spacing w:before="0" w:after="80"/>
      </w:pPr>
      <w:r>
        <w:rPr>
          <w:rFonts w:ascii="Arial" w:hAnsi="Arial"/>
          <w:color w:val="475569"/>
          <w:sz w:val="19"/>
        </w:rPr>
        <w:t>* Uang Pesangon;</w:t>
      </w:r>
    </w:p>
    <w:p>
      <w:pPr>
        <w:spacing w:before="0" w:after="80"/>
      </w:pPr>
      <w:r>
        <w:rPr>
          <w:rFonts w:ascii="Arial" w:hAnsi="Arial"/>
          <w:color w:val="475569"/>
          <w:sz w:val="19"/>
        </w:rPr>
        <w:t>* Uang Penghargaan Masa Kerja (UPMK);</w:t>
      </w:r>
    </w:p>
    <w:p>
      <w:pPr>
        <w:spacing w:before="0" w:after="80"/>
      </w:pPr>
      <w:r>
        <w:rPr>
          <w:rFonts w:ascii="Arial" w:hAnsi="Arial"/>
          <w:color w:val="475569"/>
          <w:sz w:val="19"/>
        </w:rPr>
        <w:t>* Uang Penggantian Hak (UPH);</w:t>
      </w:r>
    </w:p>
    <w:p>
      <w:pPr>
        <w:spacing w:before="0" w:after="80"/>
      </w:pPr>
      <w:r>
        <w:rPr>
          <w:rFonts w:ascii="Arial" w:hAnsi="Arial"/>
          <w:color w:val="475569"/>
          <w:sz w:val="19"/>
        </w:rPr>
        <w:t>*(dengan total nominal yang telah diverifikasi dan ditetapkan oleh Majelis Kasasi);*</w:t>
      </w:r>
    </w:p>
    <w:p>
      <w:pPr>
        <w:spacing w:before="0" w:after="80"/>
      </w:pPr>
      <w:r>
        <w:rPr>
          <w:rFonts w:ascii="Arial" w:hAnsi="Arial"/>
          <w:color w:val="475569"/>
          <w:sz w:val="19"/>
        </w:rPr>
        <w:t>4. Membebankan biaya perkara dalam tingkat kasasi kepada Negara.</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MA No. 636 K/Pdt.Sus-PHI/2019 memberikan implikasi dan panduan strategis yang sangat signifikan dalam hukum ketenagakerjaan dan manajemen SDM di Indonesia:</w:t>
      </w:r>
    </w:p>
    <w:p>
      <w:pPr>
        <w:spacing w:before="0" w:after="80"/>
      </w:pPr>
      <w:r>
        <w:rPr>
          <w:rFonts w:ascii="Arial" w:hAnsi="Arial"/>
          <w:color w:val="475569"/>
          <w:sz w:val="19"/>
        </w:rPr>
        <w:t>1. **Bagi Praktisi HR dan Manajemen Perusahaan:**</w:t>
      </w:r>
    </w:p>
    <w:p>
      <w:pPr>
        <w:spacing w:before="0" w:after="80"/>
      </w:pPr>
      <w:r>
        <w:rPr>
          <w:rFonts w:ascii="Arial" w:hAnsi="Arial"/>
          <w:color w:val="475569"/>
          <w:sz w:val="19"/>
        </w:rPr>
        <w:t>* **Larangan *Summary Dismissal* (PHK Seketika Tanpa Kompensasi):** Perusahaan tidak boleh serta-merta memberhentikan karyawan dengan dalih kesalahan berat atau tindak pidana secara internal tanpa adanya dasar yuridis peradilan pidana atau pengakuan tertulis tanpa paksaan.</w:t>
      </w:r>
    </w:p>
    <w:p>
      <w:pPr>
        <w:spacing w:before="0" w:after="80"/>
      </w:pPr>
      <w:r>
        <w:rPr>
          <w:rFonts w:ascii="Arial" w:hAnsi="Arial"/>
          <w:color w:val="475569"/>
          <w:sz w:val="19"/>
        </w:rPr>
        <w:t>* **Pilihan Strategi Skorsing / Suspensi:** Jika pekerja diduga kuat melakukan tindak pidana/kecurangan, prosedur yang aman secara hukum adalah mengenakan sanksi **skorsing** menuju PHK dengan tetap membayar upah skorsing, sembari memproses laporan pidana ke Kepolisian hingga berkekuatan hukum tetap.</w:t>
      </w:r>
    </w:p>
    <w:p>
      <w:pPr>
        <w:spacing w:before="0" w:after="80"/>
      </w:pPr>
      <w:r>
        <w:rPr>
          <w:rFonts w:ascii="Arial" w:hAnsi="Arial"/>
          <w:color w:val="475569"/>
          <w:sz w:val="19"/>
        </w:rPr>
        <w:t>* **Opsi Kesepakatan Bersama (PB):** Bila proses pidana dianggap memakan waktu lama dan biaya tinggi, pengusaha disarankan menempuh jalur perundingan bipartit untuk menyepakati Perjanjian Bersama (PB) dengan memberikan kompensasi yang disepakati kedua belah pihak secara sukarela.</w:t>
      </w:r>
    </w:p>
    <w:p>
      <w:pPr>
        <w:spacing w:before="0" w:after="80"/>
      </w:pPr>
      <w:r>
        <w:rPr>
          <w:rFonts w:ascii="Arial" w:hAnsi="Arial"/>
          <w:color w:val="475569"/>
          <w:sz w:val="19"/>
        </w:rPr>
        <w:t>2. **Bagi Legal Drafter (Penyusun PKB / Peraturan Perusahaan):**</w:t>
      </w:r>
    </w:p>
    <w:p>
      <w:pPr>
        <w:spacing w:before="0" w:after="80"/>
      </w:pPr>
      <w:r>
        <w:rPr>
          <w:rFonts w:ascii="Arial" w:hAnsi="Arial"/>
          <w:color w:val="475569"/>
          <w:sz w:val="19"/>
        </w:rPr>
        <w:t>* Redaksional klausul "Pelanggaran Berat / Kesalahan Berat" dalam Peraturan Perusahaan (PP) atau Perjanjian Kerja Bersama (PKB) tidak boleh bertentangan dengan putusan MK No. 012/PUU-I/2003 dan SEMA terkait.</w:t>
      </w:r>
    </w:p>
    <w:p>
      <w:pPr>
        <w:spacing w:before="0" w:after="80"/>
      </w:pPr>
      <w:r>
        <w:rPr>
          <w:rFonts w:ascii="Arial" w:hAnsi="Arial"/>
          <w:color w:val="475569"/>
          <w:sz w:val="19"/>
        </w:rPr>
        <w:t>* Mengatur klausul yang menyatakan bahwa perusahaan berhak mem-PHK tanpa pesangon atas tuduhan sepihak berisiko tinggi dibatalkan oleh Hakim PHI (*null and void*).</w:t>
      </w:r>
    </w:p>
    <w:p>
      <w:pPr>
        <w:spacing w:before="0" w:after="80"/>
      </w:pPr>
      <w:r>
        <w:rPr>
          <w:rFonts w:ascii="Arial" w:hAnsi="Arial"/>
          <w:color w:val="475569"/>
          <w:sz w:val="19"/>
        </w:rPr>
        <w:t>3. **Bagi Advokat &amp; Konsultan Hukum Hubungan Industrial:**</w:t>
      </w:r>
    </w:p>
    <w:p>
      <w:pPr>
        <w:spacing w:before="0" w:after="80"/>
      </w:pPr>
      <w:r>
        <w:rPr>
          <w:rFonts w:ascii="Arial" w:hAnsi="Arial"/>
          <w:color w:val="475569"/>
          <w:sz w:val="19"/>
        </w:rPr>
        <w:t>* Menjadi dasar argumen pembelaan yang mutlak bagi pekerja: Setiap pemecatan seketika berdalih kejahatan tanpa adanya laporan polisi dan putusan *inkracht* dapat langsung diserang sebagai PHK sepihak tanpa alasan sah (*unlawful dismissal*), yang menuntut kompensasi pesangon penuh beserta upah proses.</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 **Undang-Undang Dasar Negara Republik Indonesia Tahun 1945:**</w:t>
      </w:r>
    </w:p>
    <w:p>
      <w:pPr>
        <w:spacing w:before="0" w:after="80"/>
      </w:pPr>
      <w:r>
        <w:rPr>
          <w:rFonts w:ascii="Arial" w:hAnsi="Arial"/>
          <w:color w:val="475569"/>
          <w:sz w:val="19"/>
        </w:rPr>
        <w:t>* Pasal 28D ayat (1) dan ayat (2) *(Hak atas kepastian hukum yang adil dan perlakuan yang adil dan layak dalam hubungan kerja)*.</w:t>
      </w:r>
    </w:p>
    <w:p>
      <w:pPr>
        <w:spacing w:before="0" w:after="80"/>
      </w:pPr>
      <w:r>
        <w:rPr>
          <w:rFonts w:ascii="Arial" w:hAnsi="Arial"/>
          <w:color w:val="475569"/>
          <w:sz w:val="19"/>
        </w:rPr>
        <w:t>* **Undang-Undang Nomor 13 Tahun 2003 tentang Ketenagakerjaan:**</w:t>
      </w:r>
    </w:p>
    <w:p>
      <w:pPr>
        <w:spacing w:before="0" w:after="80"/>
      </w:pPr>
      <w:r>
        <w:rPr>
          <w:rFonts w:ascii="Arial" w:hAnsi="Arial"/>
          <w:color w:val="475569"/>
          <w:sz w:val="19"/>
        </w:rPr>
        <w:t>* Pasal 156 ayat (1), (2), (3), dan (4) *(Kewajiban pembayaran uang pesangon, uang penghargaan masa kerja, dan penggantian hak)*.</w:t>
      </w:r>
    </w:p>
    <w:p>
      <w:pPr>
        <w:spacing w:before="0" w:after="80"/>
      </w:pPr>
      <w:r>
        <w:rPr>
          <w:rFonts w:ascii="Arial" w:hAnsi="Arial"/>
          <w:color w:val="475569"/>
          <w:sz w:val="19"/>
        </w:rPr>
        <w:t>* Pasal 158 *(Ketentuan kesalahan berat yang telah dibatalkan oleh Mahkamah Konstitusi)*.</w:t>
      </w:r>
    </w:p>
    <w:p>
      <w:pPr>
        <w:spacing w:before="0" w:after="80"/>
      </w:pPr>
      <w:r>
        <w:rPr>
          <w:rFonts w:ascii="Arial" w:hAnsi="Arial"/>
          <w:color w:val="475569"/>
          <w:sz w:val="19"/>
        </w:rPr>
        <w:t>* Pasal 161 *(PHK akibat pelanggaran ketentuan Perjanjian Kerja, PP, atau PKB setelah pemberian Surat Peringatan)*.</w:t>
      </w:r>
    </w:p>
    <w:p>
      <w:pPr>
        <w:spacing w:before="0" w:after="80"/>
      </w:pPr>
      <w:r>
        <w:rPr>
          <w:rFonts w:ascii="Arial" w:hAnsi="Arial"/>
          <w:color w:val="475569"/>
          <w:sz w:val="19"/>
        </w:rPr>
        <w:t>* **Putusan Mahkamah Konstitusi RI No. 012/PUU-I/2003:**</w:t>
      </w:r>
    </w:p>
    <w:p>
      <w:pPr>
        <w:spacing w:before="0" w:after="80"/>
      </w:pPr>
      <w:r>
        <w:rPr>
          <w:rFonts w:ascii="Arial" w:hAnsi="Arial"/>
          <w:color w:val="475569"/>
          <w:sz w:val="19"/>
        </w:rPr>
        <w:t>* Menyatakan Pasal 158 UU No. 13 Tahun 2003 bertentangan dengan UUD 1945 dan tidak mempunyai kekuatan hukum mengikat karena melanggar asas praduga tak bersalah.</w:t>
      </w:r>
    </w:p>
    <w:p>
      <w:pPr>
        <w:spacing w:before="0" w:after="80"/>
      </w:pPr>
      <w:r>
        <w:rPr>
          <w:rFonts w:ascii="Arial" w:hAnsi="Arial"/>
          <w:color w:val="475569"/>
          <w:sz w:val="19"/>
        </w:rPr>
        <w:t>* **Surat Edaran Mahkamah Agung (SEMA):**</w:t>
      </w:r>
    </w:p>
    <w:p>
      <w:pPr>
        <w:spacing w:before="0" w:after="80"/>
      </w:pPr>
      <w:r>
        <w:rPr>
          <w:rFonts w:ascii="Arial" w:hAnsi="Arial"/>
          <w:color w:val="475569"/>
          <w:sz w:val="19"/>
        </w:rPr>
        <w:t>* SEMA No. 3 Tahun 2015 (Kamar Perdata Khusus PHI): Syarat pembuktian PHK kesalahan berat (harus putusan pidana *inkracht*, tertangkap tangan, atau pengakuan pekerja).</w:t>
      </w:r>
    </w:p>
    <w:p>
      <w:pPr>
        <w:spacing w:before="0" w:after="80"/>
      </w:pPr>
      <w:r>
        <w:rPr>
          <w:rFonts w:ascii="Arial" w:hAnsi="Arial"/>
          <w:color w:val="475569"/>
          <w:sz w:val="19"/>
        </w:rPr>
        <w:t>* SEMA No. 3 Tahun 2018 (Rumusan Kamar Perdata Khusus).</w:t>
      </w:r>
    </w:p>
    <w:p>
      <w:pPr>
        <w:spacing w:before="0" w:after="80"/>
      </w:pPr>
      <w:r>
        <w:rPr>
          <w:rFonts w:ascii="Arial" w:hAnsi="Arial"/>
          <w:color w:val="475569"/>
          <w:sz w:val="19"/>
        </w:rPr>
        <w:t>* **Undang-Undang Nomor 2 Tahun 2004 tentang Penyelesaian Perselisihan Hubungan Industrial (PPHI):**</w:t>
      </w:r>
    </w:p>
    <w:p>
      <w:pPr>
        <w:spacing w:before="0" w:after="80"/>
      </w:pPr>
      <w:r>
        <w:rPr>
          <w:rFonts w:ascii="Arial" w:hAnsi="Arial"/>
          <w:color w:val="475569"/>
          <w:sz w:val="19"/>
        </w:rPr>
        <w:t>* Mekanisme dan kompetensi absolut PHI dalam memeriksa perselisihan PHK dan hak.</w:t>
      </w:r>
    </w:p>
    <w:p>
      <w:pPr>
        <w:spacing w:before="320" w:after="80"/>
      </w:pPr>
      <w:r>
        <w:rPr>
          <w:rFonts w:ascii="Arial" w:hAnsi="Arial"/>
          <w:i/>
          <w:color w:val="64748B"/>
          <w:sz w:val="17"/>
        </w:rPr>
        <w:t>Official Source: Direktori Putusan Mahkamah Agung RI (https://putusan3.mahkamahagung.go.id/direktori/putusan/69cfd7b7e671dc11029283e3390978ce.html)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