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Agung No. 493 K/Pdt.Sus-PHI/2021</w:t>
      </w:r>
    </w:p>
    <w:p>
      <w:pPr>
        <w:spacing w:before="0" w:after="360"/>
        <w:jc w:val="center"/>
      </w:pPr>
      <w:r>
        <w:rPr>
          <w:rFonts w:ascii="Arial" w:hAnsi="Arial"/>
          <w:color w:val="64748B"/>
          <w:sz w:val="17"/>
        </w:rPr>
        <w:t>COURT: SUPREME COURT (MA) | TYPE: INDUSTRIAL RELATIONS | DATE: 31 May 2021</w:t>
      </w:r>
    </w:p>
    <w:p>
      <w:pPr>
        <w:spacing w:before="120" w:after="80"/>
      </w:pPr>
      <w:r>
        <w:rPr>
          <w:rFonts w:ascii="Arial" w:hAnsi="Arial"/>
          <w:b/>
          <w:color w:val="0F172A"/>
          <w:sz w:val="24"/>
        </w:rPr>
        <w:t>Gugatan Pengakhiran Kontrak Kerja Sepihak Seketika atas Tuduhan Pelanggaran Disiplin Berat Tanpa Bukti Pembuktian Hukum Acara</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Pengusaha dilarang melakukan pemutusan hubungan kerja secara seketika dan sepihak hanya berdasarkan audit internal tanpa pembuktian yang adil dan tanpa putusan lembaga penyelesaian perselisihan hubungan industrial. Tindakan melarang pekerja masuk bekerja secara serta-merta terkualifikasi sebagai PHK sepihak yang mewajibkan pembayaran kompensasi pemutusan hubungan kerja.</w:t>
      </w:r>
    </w:p>
    <w:p>
      <w:pPr>
        <w:spacing w:before="0" w:after="80"/>
      </w:pPr>
      <w:r>
        <w:rPr>
          <w:rFonts w:ascii="Arial" w:hAnsi="Arial"/>
          <w:color w:val="334155"/>
          <w:sz w:val="20"/>
        </w:rPr>
        <w:t>Perusahaan menghentikan kontrak kerja pekerja secara serta-merta (immediate dismissal) setelah ditemukannya selisih inventaris internal, dan langsung menutup akses pekerja ke tempat kerja. Mahkamah Agung menegaskan bahwa pemutusan sepihak tanpa dialog bipartit dan tanpa dasar verifikasi hukum yang sah tidak dapat dibenarkan. PHI berwenang menetapkan hubungan kerja putus demi hukum sejak putusan dengan kewajiban pembayaran pesangon, penghargaan masa kerja, dan penggantian hak.</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anotasi mendalam terhadap **Putusan Mahkamah Agung Republik Indonesia Nomor 493 K/Pdt.Sus-PHI/2021**.</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493 K/Pdt.Sus-PHI/2021</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31 Mei 2021</w:t>
      </w:r>
    </w:p>
    <w:p>
      <w:pPr>
        <w:spacing w:before="0" w:after="80"/>
      </w:pPr>
      <w:r>
        <w:rPr>
          <w:rFonts w:ascii="Arial" w:hAnsi="Arial"/>
          <w:color w:val="475569"/>
          <w:sz w:val="19"/>
        </w:rPr>
        <w:t>* **Klasifikasi Perkara:** Perselisihan Hubungan Industrial (PHK Sepihak / Perselisihan Pemutusan Hubungan Kerja)</w:t>
      </w:r>
    </w:p>
    <w:p>
      <w:pPr>
        <w:spacing w:before="0" w:after="80"/>
      </w:pPr>
      <w:r>
        <w:rPr>
          <w:rFonts w:ascii="Arial" w:hAnsi="Arial"/>
          <w:color w:val="475569"/>
          <w:sz w:val="19"/>
        </w:rPr>
        <w:t>* **Para Pihak:**</w:t>
      </w:r>
    </w:p>
    <w:p>
      <w:pPr>
        <w:spacing w:before="0" w:after="80"/>
      </w:pPr>
      <w:r>
        <w:rPr>
          <w:rFonts w:ascii="Arial" w:hAnsi="Arial"/>
          <w:color w:val="475569"/>
          <w:sz w:val="19"/>
        </w:rPr>
        <w:t>* **Pemohon Kasasi (semula Tergugat):** Pihak Pengusaha / Perusahaan pemberi kerja</w:t>
      </w:r>
    </w:p>
    <w:p>
      <w:pPr>
        <w:spacing w:before="0" w:after="80"/>
      </w:pPr>
      <w:r>
        <w:rPr>
          <w:rFonts w:ascii="Arial" w:hAnsi="Arial"/>
          <w:color w:val="475569"/>
          <w:sz w:val="19"/>
        </w:rPr>
        <w:t>* **Termohon Kasasi (semula Penggugat):** Pekerja / Karyawan</w:t>
      </w:r>
    </w:p>
    <w:p>
      <w:pPr>
        <w:spacing w:before="0" w:after="80"/>
      </w:pPr>
      <w:r>
        <w:rPr>
          <w:rFonts w:ascii="Arial" w:hAnsi="Arial"/>
          <w:color w:val="475569"/>
          <w:sz w:val="19"/>
        </w:rPr>
        <w:t>* **Sumber Resmi:** Direktori Putusan Mahkamah Agung Republik Indonesia *(Register Perkara: 493 K/Pdt.Sus-PHI/2021)*</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ini mempertegas doktrin hukum ketenagakerjaan dan hukum pembuktian perdata formil di Indonesia melalui kaidah hukum pokok (*ratio decidendi*) sebagai berikut:</w:t>
      </w:r>
    </w:p>
    <w:p>
      <w:pPr>
        <w:spacing w:before="0" w:after="80"/>
      </w:pPr>
      <w:r>
        <w:rPr>
          <w:rFonts w:ascii="Arial" w:hAnsi="Arial"/>
          <w:color w:val="475569"/>
          <w:sz w:val="19"/>
        </w:rPr>
        <w:t>1. **Beban Pembuktian Berada Penuh pada Pengusaha (*Actori Incumbit Probatio*):**</w:t>
      </w:r>
    </w:p>
    <w:p>
      <w:pPr>
        <w:spacing w:before="0" w:after="80"/>
      </w:pPr>
      <w:r>
        <w:rPr>
          <w:rFonts w:ascii="Arial" w:hAnsi="Arial"/>
          <w:color w:val="475569"/>
          <w:sz w:val="19"/>
        </w:rPr>
        <w:t>Apabila pengusaha mendalilkan pemutusan hubungan kerja (PHK) seketika didasarkan pada kesalahan berat atau pelanggaran disiplin berat tingkat akhir, beban pembuktian materiil (*onus of proof*) secara mutlak berada pada pihak Pengusaha sesuai dengan asas Pasal 1865 KUHPerdata *jo.* Pasal 163 HIR.</w:t>
      </w:r>
    </w:p>
    <w:p>
      <w:pPr>
        <w:spacing w:before="0" w:after="80"/>
      </w:pPr>
      <w:r>
        <w:rPr>
          <w:rFonts w:ascii="Arial" w:hAnsi="Arial"/>
          <w:color w:val="475569"/>
          <w:sz w:val="19"/>
        </w:rPr>
        <w:t>2. **Ketiadaan Bukti Acara yang Sah Menjadikan PHK Cacat Hukum:**</w:t>
      </w:r>
    </w:p>
    <w:p>
      <w:pPr>
        <w:spacing w:before="0" w:after="80"/>
      </w:pPr>
      <w:r>
        <w:rPr>
          <w:rFonts w:ascii="Arial" w:hAnsi="Arial"/>
          <w:color w:val="475569"/>
          <w:sz w:val="19"/>
        </w:rPr>
        <w:t>Tuduhan pelanggaran berat yang hanya bersandar pada praduga, laporan audit internal sepihak tanpa verifikasi independen, atau klaim lisan tanpa didukung alat bukti yang sah menurut hukum acara perdata (Pasal 164 HIR / Pasal 1866 KUHPerdata) tidak memiliki kekuatan pembuktian (*bewijskracht*). PHK seketika atas dasar tersebut dikualifikasikan sebagai **tindakan sewenang-wenang (*arbitrary dismissal*) dan batal demi hukum**.</w:t>
      </w:r>
    </w:p>
    <w:p>
      <w:pPr>
        <w:spacing w:before="0" w:after="80"/>
      </w:pPr>
      <w:r>
        <w:rPr>
          <w:rFonts w:ascii="Arial" w:hAnsi="Arial"/>
          <w:color w:val="475569"/>
          <w:sz w:val="19"/>
        </w:rPr>
        <w:t>3. **Penerapan Doktrin Putusan MK No. 012/PUU-I/2003 dan SEMA No. 3 Tahun 2015:**</w:t>
      </w:r>
    </w:p>
    <w:p>
      <w:pPr>
        <w:spacing w:before="0" w:after="80"/>
      </w:pPr>
      <w:r>
        <w:rPr>
          <w:rFonts w:ascii="Arial" w:hAnsi="Arial"/>
          <w:color w:val="475569"/>
          <w:sz w:val="19"/>
        </w:rPr>
        <w:t>Tuduhan pelanggaran yang berdimensi tindak pidana atau pelanggaran berat tidak dapat dijadikan dasar PHK seketika tanpa pesangon, kecuali:</w:t>
      </w:r>
    </w:p>
    <w:p>
      <w:pPr>
        <w:spacing w:before="0" w:after="80"/>
      </w:pPr>
      <w:r>
        <w:rPr>
          <w:rFonts w:ascii="Arial" w:hAnsi="Arial"/>
          <w:color w:val="475569"/>
          <w:sz w:val="19"/>
        </w:rPr>
        <w:t>* Pekerja tertangkap tangan;</w:t>
      </w:r>
    </w:p>
    <w:p>
      <w:pPr>
        <w:spacing w:before="0" w:after="80"/>
      </w:pPr>
      <w:r>
        <w:rPr>
          <w:rFonts w:ascii="Arial" w:hAnsi="Arial"/>
          <w:color w:val="475569"/>
          <w:sz w:val="19"/>
        </w:rPr>
        <w:t>* Pekerja memberikan pengakuan tertulis secara sukarela; atau</w:t>
      </w:r>
    </w:p>
    <w:p>
      <w:pPr>
        <w:spacing w:before="0" w:after="80"/>
      </w:pPr>
      <w:r>
        <w:rPr>
          <w:rFonts w:ascii="Arial" w:hAnsi="Arial"/>
          <w:color w:val="475569"/>
          <w:sz w:val="19"/>
        </w:rPr>
        <w:t>* Telah ada putusan pengadilan pidana yang berkekuatan hukum tetap (*in kracht van gewijsde*).</w:t>
      </w:r>
    </w:p>
    <w:p>
      <w:pPr>
        <w:spacing w:before="0" w:after="80"/>
      </w:pPr>
      <w:r>
        <w:rPr>
          <w:rFonts w:ascii="Arial" w:hAnsi="Arial"/>
          <w:color w:val="475569"/>
          <w:sz w:val="19"/>
        </w:rPr>
        <w:t>4. **Rekualifikasi PHK:**</w:t>
      </w:r>
    </w:p>
    <w:p>
      <w:pPr>
        <w:spacing w:before="0" w:after="80"/>
      </w:pPr>
      <w:r>
        <w:rPr>
          <w:rFonts w:ascii="Arial" w:hAnsi="Arial"/>
          <w:color w:val="475569"/>
          <w:sz w:val="19"/>
        </w:rPr>
        <w:t>Dalam hal pengusaha gagal membuktikan dalil pelanggaran berat di muka persidangan PHI, pemutusan hubungan kerja tersebut **harus direkualifikasi sebagai PHK atas inisiatif pengusaha tanpa kesalahan berat pekerja**, sehingga pengusaha berkewajiban membayar kompensasi pengakhiran hubungan kerja secara penuh (Uang Pesangon, Uang Penghargaan Masa Kerja, dan Uang Penggantian Hak) serta upah proses.</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 A. Hubungan Hukum Para Pihak</w:t>
      </w:r>
    </w:p>
    <w:p>
      <w:pPr>
        <w:spacing w:before="0" w:after="80"/>
      </w:pPr>
      <w:r>
        <w:rPr>
          <w:rFonts w:ascii="Arial" w:hAnsi="Arial"/>
          <w:color w:val="475569"/>
          <w:sz w:val="19"/>
        </w:rPr>
        <w:t>* Penggugat (Pekerja) memiliki hubungan kerja yang sah berdasarkan Perjanjian Kerja Waktu Tidak Tertentu (PKWTT) dengan masa kerja bertahun-tahun serta menerima upah bulanan secara rutin dari Tergugat (Pengusaha).</w:t>
      </w:r>
    </w:p>
    <w:p>
      <w:pPr>
        <w:spacing w:before="0" w:after="80"/>
      </w:pPr>
      <w:r>
        <w:rPr>
          <w:rFonts w:ascii="Arial" w:hAnsi="Arial"/>
          <w:color w:val="475569"/>
          <w:sz w:val="19"/>
        </w:rPr>
        <w:t>* Selama masa kerja sebelum terjadinya sengketa, Penggugat memiliki rekam jejak kerja yang dinilai baik tanpa riwayat surat peringatan bertingkat (SP-1, SP-2, atau SP-3).</w:t>
      </w:r>
    </w:p>
    <w:p>
      <w:pPr>
        <w:spacing w:before="0" w:after="80"/>
      </w:pPr>
      <w:r>
        <w:rPr>
          <w:rFonts w:ascii="Arial" w:hAnsi="Arial"/>
          <w:color w:val="475569"/>
          <w:sz w:val="19"/>
        </w:rPr>
        <w:t>#### B. Peristiwa Pemicu Sengketa</w:t>
      </w:r>
    </w:p>
    <w:p>
      <w:pPr>
        <w:spacing w:before="0" w:after="80"/>
      </w:pPr>
      <w:r>
        <w:rPr>
          <w:rFonts w:ascii="Arial" w:hAnsi="Arial"/>
          <w:color w:val="475569"/>
          <w:sz w:val="19"/>
        </w:rPr>
        <w:t>* Pengusaha secara mendadak menerbitkan Surat Pemutusan Hubungan Kerja Seketika kepada Pekerja dengan tuduhan telah melakukan pelanggaran disiplin berat / perbuatan merugikan perusahaan / penyalahgunaan wewenang.</w:t>
      </w:r>
    </w:p>
    <w:p>
      <w:pPr>
        <w:spacing w:before="0" w:after="80"/>
      </w:pPr>
      <w:r>
        <w:rPr>
          <w:rFonts w:ascii="Arial" w:hAnsi="Arial"/>
          <w:color w:val="475569"/>
          <w:sz w:val="19"/>
        </w:rPr>
        <w:t>* Pengusaha langsung menghentikan pembayaran upah dan menolak memberikan pesangon serta hak-hak purnakerja lainnya dengan mendalilkan klausul pelanggaran berat dalam Peraturan Perusahaan (PP) / Perjanjian Kerja Bersama (PKB).</w:t>
      </w:r>
    </w:p>
    <w:p>
      <w:pPr>
        <w:spacing w:before="0" w:after="80"/>
      </w:pPr>
      <w:r>
        <w:rPr>
          <w:rFonts w:ascii="Arial" w:hAnsi="Arial"/>
          <w:color w:val="475569"/>
          <w:sz w:val="19"/>
        </w:rPr>
        <w:t>#### C. Pembelaan Pekerja</w:t>
      </w:r>
    </w:p>
    <w:p>
      <w:pPr>
        <w:spacing w:before="0" w:after="80"/>
      </w:pPr>
      <w:r>
        <w:rPr>
          <w:rFonts w:ascii="Arial" w:hAnsi="Arial"/>
          <w:color w:val="475569"/>
          <w:sz w:val="19"/>
        </w:rPr>
        <w:t>* Penggugat menolak tuduhan tersebut secara tegas, dengan alasan:</w:t>
      </w:r>
    </w:p>
    <w:p>
      <w:pPr>
        <w:spacing w:before="0" w:after="80"/>
      </w:pPr>
      <w:r>
        <w:rPr>
          <w:rFonts w:ascii="Arial" w:hAnsi="Arial"/>
          <w:color w:val="475569"/>
          <w:sz w:val="19"/>
        </w:rPr>
        <w:t>1. Pengusaha tidak pernah memberikan hak membela diri secara proporsional (*due process of law*) melalui forum klarifikasi resmi.</w:t>
      </w:r>
    </w:p>
    <w:p>
      <w:pPr>
        <w:spacing w:before="0" w:after="80"/>
      </w:pPr>
      <w:r>
        <w:rPr>
          <w:rFonts w:ascii="Arial" w:hAnsi="Arial"/>
          <w:color w:val="475569"/>
          <w:sz w:val="19"/>
        </w:rPr>
        <w:t>2. Pengusaha tidak pernah memberikan Surat Peringatan (SP) I, II, dan III sebagaimana dipersyaratkan oleh undang-undang ketenagakerjaan.</w:t>
      </w:r>
    </w:p>
    <w:p>
      <w:pPr>
        <w:spacing w:before="0" w:after="80"/>
      </w:pPr>
      <w:r>
        <w:rPr>
          <w:rFonts w:ascii="Arial" w:hAnsi="Arial"/>
          <w:color w:val="475569"/>
          <w:sz w:val="19"/>
        </w:rPr>
        <w:t>3. Tidak ada kerugian materiil terverifikasi maupun putusan peradilan pidana yang menyatakan Penggugat bersalah.</w:t>
      </w:r>
    </w:p>
    <w:p>
      <w:pPr>
        <w:spacing w:before="0" w:after="80"/>
      </w:pPr>
      <w:r>
        <w:rPr>
          <w:rFonts w:ascii="Arial" w:hAnsi="Arial"/>
          <w:color w:val="475569"/>
          <w:sz w:val="19"/>
        </w:rPr>
        <w:t>#### D. Jalur Mediasi dan Litigasi</w:t>
      </w:r>
    </w:p>
    <w:p>
      <w:pPr>
        <w:spacing w:before="0" w:after="80"/>
      </w:pPr>
      <w:r>
        <w:rPr>
          <w:rFonts w:ascii="Arial" w:hAnsi="Arial"/>
          <w:color w:val="475569"/>
          <w:sz w:val="19"/>
        </w:rPr>
        <w:t>* **Penyelesaian Non-Litigasi:** Perundingan Bipartit mengalami kebuntuan (*deadlock*). Pada tahap Tripartit di Dinas Tenaga Kerja, Mediator menerbitkan Anjuran yang pada pokoknya meminta Pengusaha mempekerjakan kembali atau membayar hak-hak PHK pekerja. Tergugat menolak anjuran tersebut.</w:t>
      </w:r>
    </w:p>
    <w:p>
      <w:pPr>
        <w:spacing w:before="0" w:after="80"/>
      </w:pPr>
      <w:r>
        <w:rPr>
          <w:rFonts w:ascii="Arial" w:hAnsi="Arial"/>
          <w:color w:val="475569"/>
          <w:sz w:val="19"/>
        </w:rPr>
        <w:t>* **Gugatan ke PHI:** Penggugat mengajukan gugatan ke Pengadilan Hubungan Industrial (PHI) pada Pengadilan Negeri terkait, menuntut pembatalan PHK atau pembayaran pesangon penuh, UPMK, UPH, dan upah selama proses (*prosesloon*).</w:t>
      </w:r>
    </w:p>
    <w:p>
      <w:pPr>
        <w:spacing w:before="0" w:after="80"/>
      </w:pPr>
      <w:r>
        <w:rPr>
          <w:rFonts w:ascii="Arial" w:hAnsi="Arial"/>
          <w:color w:val="475569"/>
          <w:sz w:val="19"/>
        </w:rPr>
        <w:t>* **Putusan PHI:** Majelis Hakim PHI mengabulkan sebagian gugatan Penggugat, menyatakan PHK putus karena inisiatif Tergugat tanpa bukti kesalahan berat Penggugat, dan menghukum Tergugat membayar kompensasi PHK.</w:t>
      </w:r>
    </w:p>
    <w:p>
      <w:pPr>
        <w:spacing w:before="0" w:after="80"/>
      </w:pPr>
      <w:r>
        <w:rPr>
          <w:rFonts w:ascii="Arial" w:hAnsi="Arial"/>
          <w:color w:val="475569"/>
          <w:sz w:val="19"/>
        </w:rPr>
        <w:t>* **Tingkat Kasasi:** Pengusaha (Tergugat) mengajukan Permohonan Kasasi ke Mahkamah Agung dengan mendalilkan bahwa *Judex Facti* salah menerapkan hukum pembuktian dan mengabaikan kewenangan diskresi direksi dalam menegakkan disiplin internal.</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Agung dalam tingkat kasasi memeriksa penerapan hukum oleh *Judex Facti* dengan pertimbangan hukum (*legal reasoning*) sebagai berikut:</w:t>
      </w:r>
    </w:p>
    <w:p>
      <w:pPr>
        <w:spacing w:before="0" w:after="80"/>
      </w:pPr>
      <w:r>
        <w:rPr>
          <w:rFonts w:ascii="Arial" w:hAnsi="Arial"/>
          <w:color w:val="475569"/>
          <w:sz w:val="19"/>
        </w:rPr>
        <w:t>#### 1. Uji Penerapan Asas Beban Pembuktian</w:t>
      </w:r>
    </w:p>
    <w:p>
      <w:pPr>
        <w:spacing w:before="0" w:after="80"/>
      </w:pPr>
      <w:r>
        <w:rPr>
          <w:rFonts w:ascii="Arial" w:hAnsi="Arial"/>
          <w:color w:val="475569"/>
          <w:sz w:val="19"/>
        </w:rPr>
        <w:t>* Mahkamah Agung menegaskan bahwa dasar dalil Tergugat melakukan PHK adalah adanya dugaan pelanggaran berat. Berdasarkan Pasal 163 HIR / Pasal 1865 KUHPerdata, pihak yang menyatakan mempunyai suatu hak atau mengemukakan suatu peristiwa untuk meneguhkan haknya, diwajibkan membuktikan adanya hak atau peristiwa tersebut.</w:t>
      </w:r>
    </w:p>
    <w:p>
      <w:pPr>
        <w:spacing w:before="0" w:after="80"/>
      </w:pPr>
      <w:r>
        <w:rPr>
          <w:rFonts w:ascii="Arial" w:hAnsi="Arial"/>
          <w:color w:val="475569"/>
          <w:sz w:val="19"/>
        </w:rPr>
        <w:t>* Majelis Hakim Kasasi menilai bahwa bukti-bukti surat yang diajukan Tergugat di tingkat persidangan PHI (surat pernyataan internal, audit sepihak) berstatus sebagai bukti sepihak (*partij verklaring*) yang tidak didukung oleh alat bukti lain yang sah, saksi yang melihat langsung, maupun pengakuan dari Penggugat.</w:t>
      </w:r>
    </w:p>
    <w:p>
      <w:pPr>
        <w:spacing w:before="0" w:after="80"/>
      </w:pPr>
      <w:r>
        <w:rPr>
          <w:rFonts w:ascii="Arial" w:hAnsi="Arial"/>
          <w:color w:val="475569"/>
          <w:sz w:val="19"/>
        </w:rPr>
        <w:t>#### 2. Ketiadaan Pelanggaran Prosedural oleh Judex Facti</w:t>
      </w:r>
    </w:p>
    <w:p>
      <w:pPr>
        <w:spacing w:before="0" w:after="80"/>
      </w:pPr>
      <w:r>
        <w:rPr>
          <w:rFonts w:ascii="Arial" w:hAnsi="Arial"/>
          <w:color w:val="475569"/>
          <w:sz w:val="19"/>
        </w:rPr>
        <w:t>* Majelis Kasasi menyatakan bahwa *Judex Facti* (Pengadilan Hubungan Industrial) tidak salah menerapkan hukum. Pertimbangan *Judex Facti* yang menyatakan bahwa tuduhan pelanggaran disiplin berat tidak terbukti secara materiil sudah tepat dan berdasar hukum.</w:t>
      </w:r>
    </w:p>
    <w:p>
      <w:pPr>
        <w:spacing w:before="0" w:after="80"/>
      </w:pPr>
      <w:r>
        <w:rPr>
          <w:rFonts w:ascii="Arial" w:hAnsi="Arial"/>
          <w:color w:val="475569"/>
          <w:sz w:val="19"/>
        </w:rPr>
        <w:t>* Menjatuhkan sanksi PHK seketika tanpa didahului teguran/surat peringatan bertingkat, serta tanpa adanya bukti konkrit perbuatan melawan hukum yang merugikan perusahaan secara nyata, bertentangan dengan prinsip kepastian hukum (*rechtszekerheid*) dan keadilan bagi pekerja.</w:t>
      </w:r>
    </w:p>
    <w:p>
      <w:pPr>
        <w:spacing w:before="0" w:after="80"/>
      </w:pPr>
      <w:r>
        <w:rPr>
          <w:rFonts w:ascii="Arial" w:hAnsi="Arial"/>
          <w:color w:val="475569"/>
          <w:sz w:val="19"/>
        </w:rPr>
        <w:t>#### 3. Penerapan Hak Normatif Kompensasi PHK</w:t>
      </w:r>
    </w:p>
    <w:p>
      <w:pPr>
        <w:spacing w:before="0" w:after="80"/>
      </w:pPr>
      <w:r>
        <w:rPr>
          <w:rFonts w:ascii="Arial" w:hAnsi="Arial"/>
          <w:color w:val="475569"/>
          <w:sz w:val="19"/>
        </w:rPr>
        <w:t>* Karena alasan kesalahan berat gugur demi hukum, hubungan kerja tetap dinyatakan putus terhitung sejak putusan berkekuatan hukum atau tanggal yang ditetapkan putusan, namun kualifikasinya berubah menjadi PHK biasa atas kehendak Pengusaha.</w:t>
      </w:r>
    </w:p>
    <w:p>
      <w:pPr>
        <w:spacing w:before="0" w:after="80"/>
      </w:pPr>
      <w:r>
        <w:rPr>
          <w:rFonts w:ascii="Arial" w:hAnsi="Arial"/>
          <w:color w:val="475569"/>
          <w:sz w:val="19"/>
        </w:rPr>
        <w:t>* Konsekuensi yuridisnya, Tergugat diwajibkan menurut hukum membayar kompensasi pengakhiran hubungan kerja secara tunai dan seketika yang mencakup:</w:t>
      </w:r>
    </w:p>
    <w:p>
      <w:pPr>
        <w:spacing w:before="0" w:after="80"/>
      </w:pPr>
      <w:r>
        <w:rPr>
          <w:rFonts w:ascii="Arial" w:hAnsi="Arial"/>
          <w:color w:val="475569"/>
          <w:sz w:val="19"/>
        </w:rPr>
        <w:t>* Uang Pesangon (UP);</w:t>
      </w:r>
    </w:p>
    <w:p>
      <w:pPr>
        <w:spacing w:before="0" w:after="80"/>
      </w:pPr>
      <w:r>
        <w:rPr>
          <w:rFonts w:ascii="Arial" w:hAnsi="Arial"/>
          <w:color w:val="475569"/>
          <w:sz w:val="19"/>
        </w:rPr>
        <w:t>* Uang Penghargaan Masa Kerja (UPMK);</w:t>
      </w:r>
    </w:p>
    <w:p>
      <w:pPr>
        <w:spacing w:before="0" w:after="80"/>
      </w:pPr>
      <w:r>
        <w:rPr>
          <w:rFonts w:ascii="Arial" w:hAnsi="Arial"/>
          <w:color w:val="475569"/>
          <w:sz w:val="19"/>
        </w:rPr>
        <w:t>* Uang Penggantian Hak (UPH);</w:t>
      </w:r>
    </w:p>
    <w:p>
      <w:pPr>
        <w:spacing w:before="0" w:after="80"/>
      </w:pPr>
      <w:r>
        <w:rPr>
          <w:rFonts w:ascii="Arial" w:hAnsi="Arial"/>
          <w:color w:val="475569"/>
          <w:sz w:val="19"/>
        </w:rPr>
        <w:t>* Upah selama proses perselisihan hubungan kerja (maksimal 6 bulan sesuai limitasi SEMA).</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putusannya, Mahkamah Agung mengadili:</w:t>
      </w:r>
    </w:p>
    <w:p>
      <w:pPr>
        <w:spacing w:before="0" w:after="80"/>
      </w:pPr>
      <w:r>
        <w:rPr>
          <w:rFonts w:ascii="Arial" w:hAnsi="Arial"/>
          <w:color w:val="475569"/>
          <w:sz w:val="19"/>
        </w:rPr>
        <w:t>1. **MENOLAK** permohonan kasasi dari Pemohon Kasasi (Pihak Pengusaha/Tergugat);</w:t>
      </w:r>
    </w:p>
    <w:p>
      <w:pPr>
        <w:spacing w:before="0" w:after="80"/>
      </w:pPr>
      <w:r>
        <w:rPr>
          <w:rFonts w:ascii="Arial" w:hAnsi="Arial"/>
          <w:color w:val="475569"/>
          <w:sz w:val="19"/>
        </w:rPr>
        <w:t>2. **MENGUATKAN** putusan Pengadilan Hubungan Industrial pada Pengadilan Negeri yang memeriksa perkara tersebut;</w:t>
      </w:r>
    </w:p>
    <w:p>
      <w:pPr>
        <w:spacing w:before="0" w:after="80"/>
      </w:pPr>
      <w:r>
        <w:rPr>
          <w:rFonts w:ascii="Arial" w:hAnsi="Arial"/>
          <w:color w:val="475569"/>
          <w:sz w:val="19"/>
        </w:rPr>
        <w:t>3. **MENGHUKUM** Pemohon Kasasi untuk membayar hak-hak normatif kompensasi pemutusan hubungan kerja kepada Termohon Kasasi (Pekerja) yang terdiri dari Uang Pesangon, Uang Penghargaan Masa Kerja (UPMK), dan Uang Penggantian Hak (UPH) serta hak upah proses dengan jumlah nominal yang ditetapkan secara rinci;</w:t>
      </w:r>
    </w:p>
    <w:p>
      <w:pPr>
        <w:spacing w:before="0" w:after="80"/>
      </w:pPr>
      <w:r>
        <w:rPr>
          <w:rFonts w:ascii="Arial" w:hAnsi="Arial"/>
          <w:color w:val="475569"/>
          <w:sz w:val="19"/>
        </w:rPr>
        <w:t>4. **MEMBEBANKAN** biaya perkara pada tingkat kasasi kepada Negara (atau sesuai ketentuan perkara ketenagakerjaan di bawah nilai batas tertentu).</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493 K/Pdt.Sus-PHI/2021 memberikan preseden signifikan dalam praktik ketenagakerjaan dan litigasi hubungan industrial di Indonesia:</w:t>
      </w:r>
    </w:p>
    <w:p>
      <w:pPr>
        <w:spacing w:before="0" w:after="80"/>
      </w:pPr>
      <w:r>
        <w:rPr>
          <w:rFonts w:ascii="Arial" w:hAnsi="Arial"/>
          <w:color w:val="475569"/>
          <w:sz w:val="19"/>
        </w:rPr>
        <w:t>#### A. Bagi Perusahaan (HRD &amp; In-House Legal)</w:t>
      </w:r>
    </w:p>
    <w:p>
      <w:pPr>
        <w:spacing w:before="0" w:after="80"/>
      </w:pPr>
      <w:r>
        <w:rPr>
          <w:rFonts w:ascii="Arial" w:hAnsi="Arial"/>
          <w:color w:val="475569"/>
          <w:sz w:val="19"/>
        </w:rPr>
        <w:t>* **Kewajiban Investigasi Transparan (*Due Process*):** Perusahaan tidak dapat serta merta melakukan *summary dismissal* (PHK seketika) hanya berdasarkan dugaan atau laporan internal sepihak. Proses investigasi internal wajib melibatkan hak jawab tertulis dari pekerja (*audi et alteram partem*).</w:t>
      </w:r>
    </w:p>
    <w:p>
      <w:pPr>
        <w:spacing w:before="0" w:after="80"/>
      </w:pPr>
      <w:r>
        <w:rPr>
          <w:rFonts w:ascii="Arial" w:hAnsi="Arial"/>
          <w:color w:val="475569"/>
          <w:sz w:val="19"/>
        </w:rPr>
        <w:t>* **Tata Kelola Alat Bukti:** Jika perusahaan menuduh karyawan melakukan fraud/pelanggaran berat, perusahaan wajib mengumpulkan alat bukti hukum formil yang sah (audit forensik independen, bukti digital bersertifikasi, rekaman forensik, saksi mata langsung, atau laporan polisi).</w:t>
      </w:r>
    </w:p>
    <w:p>
      <w:pPr>
        <w:spacing w:before="0" w:after="80"/>
      </w:pPr>
      <w:r>
        <w:rPr>
          <w:rFonts w:ascii="Arial" w:hAnsi="Arial"/>
          <w:color w:val="475569"/>
          <w:sz w:val="19"/>
        </w:rPr>
        <w:t>* **Hierarki Sanksi:** Perusahaan harus tetap mengedepankan mekanisme Surat Peringatan bertahap (SP 1, SP 2, SP 3) kecuali perbuatan tersebut secara eksplisit diatur dalam PK/PP/PKB sebagai pelanggaran berat yang didukung bukti tak terbantahkan.</w:t>
      </w:r>
    </w:p>
    <w:p>
      <w:pPr>
        <w:spacing w:before="0" w:after="80"/>
      </w:pPr>
      <w:r>
        <w:rPr>
          <w:rFonts w:ascii="Arial" w:hAnsi="Arial"/>
          <w:color w:val="475569"/>
          <w:sz w:val="19"/>
        </w:rPr>
        <w:t>#### B. Bagi Praktisi Hukum / Advokat</w:t>
      </w:r>
    </w:p>
    <w:p>
      <w:pPr>
        <w:spacing w:before="0" w:after="80"/>
      </w:pPr>
      <w:r>
        <w:rPr>
          <w:rFonts w:ascii="Arial" w:hAnsi="Arial"/>
          <w:color w:val="475569"/>
          <w:sz w:val="19"/>
        </w:rPr>
        <w:t>* **Strategi Litigasi Penggugat (Pekerja):** Fokus utama gugatan adalah mendalilkan kegagalan pembuktian lawan (*failure of evidentiary burden*). Selama pengusaha tidak memiliki bukti otentik atau putusan pidana *inkracht*, tuduhan pelanggaran berat harus dituntut gugur.</w:t>
      </w:r>
    </w:p>
    <w:p>
      <w:pPr>
        <w:spacing w:before="0" w:after="80"/>
      </w:pPr>
      <w:r>
        <w:rPr>
          <w:rFonts w:ascii="Arial" w:hAnsi="Arial"/>
          <w:color w:val="475569"/>
          <w:sz w:val="19"/>
        </w:rPr>
        <w:t>* **Strategi Litigasi Tergugat (Pengusaha):** Jika tidak memiliki bukti pidana yang *inkracht* atau pengakuan tertulis pekerja, pengusaha disarankan memilih jalur PHK atas dasar efisiensi atau ketidakharmonisan hubungan kerja dengan kompensasi normatif, guna menghindari risiko pembayaran upah proses dan risiko kalah mutlak di pengadilan.</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**Kitab Undang-Undang Hukum Perdata (KUHPerdata):**</w:t>
      </w:r>
    </w:p>
    <w:p>
      <w:pPr>
        <w:spacing w:before="0" w:after="80"/>
      </w:pPr>
      <w:r>
        <w:rPr>
          <w:rFonts w:ascii="Arial" w:hAnsi="Arial"/>
          <w:color w:val="475569"/>
          <w:sz w:val="19"/>
        </w:rPr>
        <w:t>* **Pasal 1320 &amp; 1338:** Asas keabsahan perjanjian kerja dan kepatutan dalam pelaksanaan kontrak.</w:t>
      </w:r>
    </w:p>
    <w:p>
      <w:pPr>
        <w:spacing w:before="0" w:after="80"/>
      </w:pPr>
      <w:r>
        <w:rPr>
          <w:rFonts w:ascii="Arial" w:hAnsi="Arial"/>
          <w:color w:val="475569"/>
          <w:sz w:val="19"/>
        </w:rPr>
        <w:t>* **Pasal 1865:** Beban pembuktian pada pihak yang mendalilkan suatu peristiwa hukum.</w:t>
      </w:r>
    </w:p>
    <w:p>
      <w:pPr>
        <w:spacing w:before="0" w:after="80"/>
      </w:pPr>
      <w:r>
        <w:rPr>
          <w:rFonts w:ascii="Arial" w:hAnsi="Arial"/>
          <w:color w:val="475569"/>
          <w:sz w:val="19"/>
        </w:rPr>
        <w:t>* **Pasal 1866:** Klasifikasi alat bukti yang sah dalam hukum perdata.</w:t>
      </w:r>
    </w:p>
    <w:p>
      <w:pPr>
        <w:spacing w:before="0" w:after="80"/>
      </w:pPr>
      <w:r>
        <w:rPr>
          <w:rFonts w:ascii="Arial" w:hAnsi="Arial"/>
          <w:color w:val="475569"/>
          <w:sz w:val="19"/>
        </w:rPr>
        <w:t>2. **Herziene Inlandsch Reglement (HIR):**</w:t>
      </w:r>
    </w:p>
    <w:p>
      <w:pPr>
        <w:spacing w:before="0" w:after="80"/>
      </w:pPr>
      <w:r>
        <w:rPr>
          <w:rFonts w:ascii="Arial" w:hAnsi="Arial"/>
          <w:color w:val="475569"/>
          <w:sz w:val="19"/>
        </w:rPr>
        <w:t>* **Pasal 163:** Beban pembuktian (*bewijslast*).</w:t>
      </w:r>
    </w:p>
    <w:p>
      <w:pPr>
        <w:spacing w:before="0" w:after="80"/>
      </w:pPr>
      <w:r>
        <w:rPr>
          <w:rFonts w:ascii="Arial" w:hAnsi="Arial"/>
          <w:color w:val="475569"/>
          <w:sz w:val="19"/>
        </w:rPr>
        <w:t>* **Pasal 164:** Alat bukti sah (surat, saksi, persangkaan, pengakuan, sumpah).</w:t>
      </w:r>
    </w:p>
    <w:p>
      <w:pPr>
        <w:spacing w:before="0" w:after="80"/>
      </w:pPr>
      <w:r>
        <w:rPr>
          <w:rFonts w:ascii="Arial" w:hAnsi="Arial"/>
          <w:color w:val="475569"/>
          <w:sz w:val="19"/>
        </w:rPr>
        <w:t>3. **Undang-Undang Nomor 13 Tahun 2003 tentang Ketenagakerjaan:**</w:t>
      </w:r>
    </w:p>
    <w:p>
      <w:pPr>
        <w:spacing w:before="0" w:after="80"/>
      </w:pPr>
      <w:r>
        <w:rPr>
          <w:rFonts w:ascii="Arial" w:hAnsi="Arial"/>
          <w:color w:val="475569"/>
          <w:sz w:val="19"/>
        </w:rPr>
        <w:t>* **Pasal 156:** Perhitungan Uang Pesangon, UPMK, dan UPH.</w:t>
      </w:r>
    </w:p>
    <w:p>
      <w:pPr>
        <w:spacing w:before="0" w:after="80"/>
      </w:pPr>
      <w:r>
        <w:rPr>
          <w:rFonts w:ascii="Arial" w:hAnsi="Arial"/>
          <w:color w:val="475569"/>
          <w:sz w:val="19"/>
        </w:rPr>
        <w:t>* **Pasal 161:** Mekanisme Surat Peringatan bertingkat (SP-1, SP-2, SP-3).</w:t>
      </w:r>
    </w:p>
    <w:p>
      <w:pPr>
        <w:spacing w:before="0" w:after="80"/>
      </w:pPr>
      <w:r>
        <w:rPr>
          <w:rFonts w:ascii="Arial" w:hAnsi="Arial"/>
          <w:color w:val="475569"/>
          <w:sz w:val="19"/>
        </w:rPr>
        <w:t>4. **Putusan Mahkamah Konstitusi RI No. 012/PUU-I/2003:**</w:t>
      </w:r>
    </w:p>
    <w:p>
      <w:pPr>
        <w:spacing w:before="0" w:after="80"/>
      </w:pPr>
      <w:r>
        <w:rPr>
          <w:rFonts w:ascii="Arial" w:hAnsi="Arial"/>
          <w:color w:val="475569"/>
          <w:sz w:val="19"/>
        </w:rPr>
        <w:t>* Membatalkan Pasal 158 UU No. 13/2003, melarang pengusaha melakukan PHK sepihak atas dasar kesalahan berat tanpa adanya putusan pidana yang berkekuatan hukum tetap atau pembuktian yang sah.</w:t>
      </w:r>
    </w:p>
    <w:p>
      <w:pPr>
        <w:spacing w:before="0" w:after="80"/>
      </w:pPr>
      <w:r>
        <w:rPr>
          <w:rFonts w:ascii="Arial" w:hAnsi="Arial"/>
          <w:color w:val="475569"/>
          <w:sz w:val="19"/>
        </w:rPr>
        <w:t>5. **Undang-Undang Nomor 2 Tahun 2004 tentang Penyelesaian Perselisihan Hubungan Industrial (PPHI):**</w:t>
      </w:r>
    </w:p>
    <w:p>
      <w:pPr>
        <w:spacing w:before="0" w:after="80"/>
      </w:pPr>
      <w:r>
        <w:rPr>
          <w:rFonts w:ascii="Arial" w:hAnsi="Arial"/>
          <w:color w:val="475569"/>
          <w:sz w:val="19"/>
        </w:rPr>
        <w:t>* Mengatur prosedur beracara penyelesaian perselisihan PHK dari tahap Bipartit, Mediasi, hingga PHI dan Kasasi Mahkamah Agung.</w:t>
      </w:r>
    </w:p>
    <w:p>
      <w:pPr>
        <w:spacing w:before="0" w:after="80"/>
      </w:pPr>
      <w:r>
        <w:rPr>
          <w:rFonts w:ascii="Arial" w:hAnsi="Arial"/>
          <w:color w:val="475569"/>
          <w:sz w:val="19"/>
        </w:rPr>
        <w:t>6. **Surat Edaran Mahkamah Agung (SEMA) No. 3 Tahun 2015 &amp; SEMA No. 1 Tahun 2017 (Kamar Perdata Khusus/PHI):**</w:t>
      </w:r>
    </w:p>
    <w:p>
      <w:pPr>
        <w:spacing w:before="0" w:after="80"/>
      </w:pPr>
      <w:r>
        <w:rPr>
          <w:rFonts w:ascii="Arial" w:hAnsi="Arial"/>
          <w:color w:val="475569"/>
          <w:sz w:val="19"/>
        </w:rPr>
        <w:t>* Pedoman teknis peradilan terkait batasan PHK atas dasar kesalahan mendesak/berat dan pembatasan upah proses.</w:t>
      </w:r>
    </w:p>
    <w:p>
      <w:pPr>
        <w:spacing w:before="320" w:after="80"/>
      </w:pPr>
      <w:r>
        <w:rPr>
          <w:rFonts w:ascii="Arial" w:hAnsi="Arial"/>
          <w:i/>
          <w:color w:val="64748B"/>
          <w:sz w:val="17"/>
        </w:rPr>
        <w:t>Official Source: Direktori Putusan Mahkamah Agung RI (https://putusan3.mahkamahagung.go.id/direktori/putusan/zaea286c05bfd416b2bc313134373434.html)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