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MK No. 012/PUU-I/2003</w:t>
      </w:r>
    </w:p>
    <w:p>
      <w:pPr>
        <w:spacing w:before="0" w:after="360"/>
        <w:jc w:val="center"/>
      </w:pPr>
      <w:r>
        <w:rPr>
          <w:rFonts w:ascii="Arial" w:hAnsi="Arial"/>
          <w:color w:val="64748B"/>
          <w:sz w:val="17"/>
        </w:rPr>
        <w:t>COURT: CONSTITUTIONAL COURT (MK) | TYPE: CONSTITUTIONAL REVIEW | DATE: 28 October 2004</w:t>
      </w:r>
    </w:p>
    <w:p>
      <w:pPr>
        <w:spacing w:before="120" w:after="80"/>
      </w:pPr>
      <w:r>
        <w:rPr>
          <w:rFonts w:ascii="Arial" w:hAnsi="Arial"/>
          <w:b/>
          <w:color w:val="0F172A"/>
          <w:sz w:val="24"/>
        </w:rPr>
        <w:t>Constitutional Review of Article 158 of Law No. 13/2003 on Immediate Termination for Gross Misconduct</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Pengusaha dilarang melakukan pemutusan hubungan kerja secara serta-merta atau seketika (immediate dismissal) dengan dalih pekerja melakukan 'kesalahan berat' tanpa adanya putusan pengadilan pidana yang berkekuatan hukum tetap (inkracht). Ketentuan Pasal 158 UU Ketenagakerjaan dinyatakan bertentangan dengan UUD 1945 karena melanggar asas praduga tak bersalah (presumption of innocence).</w:t>
      </w:r>
    </w:p>
    <w:p>
      <w:pPr>
        <w:spacing w:before="0" w:after="80"/>
      </w:pPr>
      <w:r>
        <w:rPr>
          <w:rFonts w:ascii="Arial" w:hAnsi="Arial"/>
          <w:color w:val="334155"/>
          <w:sz w:val="20"/>
        </w:rPr>
        <w:t>Para pemohon menguji sejumlah pasal dalam UU No. 13 Tahun 2003, khususnya Pasal 158 yang memberi kewenangan bagi pengusaha untuk memutus hubungan kerja secara sepihak dan seketika jika pekerja dituduh melakukan kesalahan berat (seperti penipuan, pencurian, penggelapan, dll.) hanya berdasarkan bukti permulaan internal. Mahkamah Konstitusi mengabulkan permohonan tersebut dan menyatakan Pasal 158 tidak mempunyai kekuatan hukum mengikat karena penentuan kesalahan pidana merupakan ranah peradilan pidana, bukan diskresi sepihak pengusaha.</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anotasi mendalam terhadap **Putusan Mahkamah Konstitusi Nomor 012/PUU-I/2003** yang disusun berdasarkan standar telaah preseden hukum ketenagakerjaan dan hukum tata negara Indonesia.</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MK Nomor 012/PUU-I/2003</w:t>
      </w:r>
    </w:p>
    <w:p>
      <w:pPr>
        <w:spacing w:before="0" w:after="80"/>
      </w:pPr>
      <w:r>
        <w:rPr>
          <w:rFonts w:ascii="Arial" w:hAnsi="Arial"/>
          <w:color w:val="475569"/>
          <w:sz w:val="19"/>
        </w:rPr>
        <w:t>* **Lembaga Peradilan:** Mahkamah Konstitusi Republik Indonesia (MK RI)</w:t>
      </w:r>
    </w:p>
    <w:p>
      <w:pPr>
        <w:spacing w:before="0" w:after="80"/>
      </w:pPr>
      <w:r>
        <w:rPr>
          <w:rFonts w:ascii="Arial" w:hAnsi="Arial"/>
          <w:color w:val="475569"/>
          <w:sz w:val="19"/>
        </w:rPr>
        <w:t>* **Tanggal Putusan:** Kamis, 28 Oktober 2004</w:t>
      </w:r>
    </w:p>
    <w:p>
      <w:pPr>
        <w:spacing w:before="0" w:after="80"/>
      </w:pPr>
      <w:r>
        <w:rPr>
          <w:rFonts w:ascii="Arial" w:hAnsi="Arial"/>
          <w:color w:val="475569"/>
          <w:sz w:val="19"/>
        </w:rPr>
        <w:t>* **Klasifikasi Perkara:** Pengujian Undang-Undang terhadap Undang-Undang Dasar Negara Republik Indonesia Tahun 1945 (*Constitutional Review*)</w:t>
      </w:r>
    </w:p>
    <w:p>
      <w:pPr>
        <w:spacing w:before="0" w:after="80"/>
      </w:pPr>
      <w:r>
        <w:rPr>
          <w:rFonts w:ascii="Arial" w:hAnsi="Arial"/>
          <w:color w:val="475569"/>
          <w:sz w:val="19"/>
        </w:rPr>
        <w:t>* **Para Pemohon:**</w:t>
      </w:r>
    </w:p>
    <w:p>
      <w:pPr>
        <w:spacing w:before="0" w:after="80"/>
      </w:pPr>
      <w:r>
        <w:rPr>
          <w:rFonts w:ascii="Arial" w:hAnsi="Arial"/>
          <w:color w:val="475569"/>
          <w:sz w:val="19"/>
        </w:rPr>
        <w:t>* Aliansi Serikat Buruh/Pekerja dan Perorangan Warga Negara Indonesia (terdiri dari 26 federasi/serikat pekerja dan aktivis buruh), antara lain:</w:t>
      </w:r>
    </w:p>
    <w:p>
      <w:pPr>
        <w:spacing w:before="0" w:after="80"/>
      </w:pPr>
      <w:r>
        <w:rPr>
          <w:rFonts w:ascii="Arial" w:hAnsi="Arial"/>
          <w:color w:val="475569"/>
          <w:sz w:val="19"/>
        </w:rPr>
        <w:t>1. Federasi Serikat Pekerja Kimia, Energi, Pertambangan, Minyak dan Gas Bumi dan Umum (FSP KEP);</w:t>
      </w:r>
    </w:p>
    <w:p>
      <w:pPr>
        <w:spacing w:before="0" w:after="80"/>
      </w:pPr>
      <w:r>
        <w:rPr>
          <w:rFonts w:ascii="Arial" w:hAnsi="Arial"/>
          <w:color w:val="475569"/>
          <w:sz w:val="19"/>
        </w:rPr>
        <w:t>2. Serikat Pekerja Nasional (SPN);</w:t>
      </w:r>
    </w:p>
    <w:p>
      <w:pPr>
        <w:spacing w:before="0" w:after="80"/>
      </w:pPr>
      <w:r>
        <w:rPr>
          <w:rFonts w:ascii="Arial" w:hAnsi="Arial"/>
          <w:color w:val="475569"/>
          <w:sz w:val="19"/>
        </w:rPr>
        <w:t>3. Federasi Ikatan Serikat Buruh Indonesia (FISBI);</w:t>
      </w:r>
    </w:p>
    <w:p>
      <w:pPr>
        <w:spacing w:before="0" w:after="80"/>
      </w:pPr>
      <w:r>
        <w:rPr>
          <w:rFonts w:ascii="Arial" w:hAnsi="Arial"/>
          <w:color w:val="475569"/>
          <w:sz w:val="19"/>
        </w:rPr>
        <w:t>4. Didi Suprijadi, Bambang Eka Cahya, dkk. (perorangan pekerja).</w:t>
      </w:r>
    </w:p>
    <w:p>
      <w:pPr>
        <w:spacing w:before="0" w:after="80"/>
      </w:pPr>
      <w:r>
        <w:rPr>
          <w:rFonts w:ascii="Arial" w:hAnsi="Arial"/>
          <w:color w:val="475569"/>
          <w:sz w:val="19"/>
        </w:rPr>
        <w:t>* **Pihak Termohon (Pembentuk UU):**</w:t>
      </w:r>
    </w:p>
    <w:p>
      <w:pPr>
        <w:spacing w:before="0" w:after="80"/>
      </w:pPr>
      <w:r>
        <w:rPr>
          <w:rFonts w:ascii="Arial" w:hAnsi="Arial"/>
          <w:color w:val="475569"/>
          <w:sz w:val="19"/>
        </w:rPr>
        <w:t>* Pemerintah Republik Indonesia (Presiden/Menteri Tenaga Kerja dan Transmigrasi, Menteri Hukum dan HAM);</w:t>
      </w:r>
    </w:p>
    <w:p>
      <w:pPr>
        <w:spacing w:before="0" w:after="80"/>
      </w:pPr>
      <w:r>
        <w:rPr>
          <w:rFonts w:ascii="Arial" w:hAnsi="Arial"/>
          <w:color w:val="475569"/>
          <w:sz w:val="19"/>
        </w:rPr>
        <w:t>* Dewan Perwakilan Rakyat Republik Indonesia (DPR RI).</w:t>
      </w:r>
    </w:p>
    <w:p>
      <w:pPr>
        <w:spacing w:before="0" w:after="80"/>
      </w:pPr>
      <w:r>
        <w:rPr>
          <w:rFonts w:ascii="Arial" w:hAnsi="Arial"/>
          <w:color w:val="475569"/>
          <w:sz w:val="19"/>
        </w:rPr>
        <w:t>* **Objek Pengujian:**</w:t>
      </w:r>
    </w:p>
    <w:p>
      <w:pPr>
        <w:spacing w:before="0" w:after="80"/>
      </w:pPr>
      <w:r>
        <w:rPr>
          <w:rFonts w:ascii="Arial" w:hAnsi="Arial"/>
          <w:color w:val="475569"/>
          <w:sz w:val="19"/>
        </w:rPr>
        <w:t>* Sejumlah ketentuan dalam **Undang-Undang Nomor 13 Tahun 2003 tentang Ketenagakerjaan** (khususnya Pasal 158, Pasal 159, Pasal 160 ayat (1), Pasal 170, Pasal 171, dan Pasal 186).</w:t>
      </w:r>
    </w:p>
    <w:p>
      <w:pPr>
        <w:spacing w:before="0" w:after="80"/>
      </w:pPr>
      <w:r>
        <w:rPr>
          <w:rFonts w:ascii="Arial" w:hAnsi="Arial"/>
          <w:color w:val="475569"/>
          <w:sz w:val="19"/>
        </w:rPr>
        <w:t>* **Sumber Resmi:** Kepaniteraan Mahkamah Konstitusi RI ([Putusan No. 012/PUU-I/2003](https://www.mkri.id/index.php?page=web.Putusan&amp;id=101))</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**Prinsip Praduga Tak Bersalah (*Presumption of Innocence*) dalam Hubungan Kerja:**</w:t>
      </w:r>
    </w:p>
    <w:p>
      <w:pPr>
        <w:spacing w:before="0" w:after="80"/>
      </w:pPr>
      <w:r>
        <w:rPr>
          <w:rFonts w:ascii="Arial" w:hAnsi="Arial"/>
          <w:color w:val="475569"/>
          <w:sz w:val="19"/>
        </w:rPr>
        <w:t>Pengusaha tidak memiliki kewenangan yudisial untuk menyatakan seorang pekerja/buruh telah melakukan tindak pidana/kesalahan berat. Pemutusan Hubungan Kerja (PHK) sepihak dengan alasan perbuatan pidana (sebagaimana dirumuskan dalam Pasal 158 ayat (1) UU No. 13/2003) tanpa adanya putusan pengadilan pidana yang berkekuatan hukum tetap (*in kracht van gewijsde*) melanggar hak atas perlindungan kepastian hukum yang adil dan persamaan kedudukan di hadapan hukum (*due process of law*).</w:t>
      </w:r>
    </w:p>
    <w:p>
      <w:pPr>
        <w:spacing w:before="0" w:after="80"/>
      </w:pPr>
      <w:r>
        <w:rPr>
          <w:rFonts w:ascii="Arial" w:hAnsi="Arial"/>
          <w:color w:val="475569"/>
          <w:sz w:val="19"/>
        </w:rPr>
        <w:t>2. **Larangan Pengalihan Beban Pembuktian Pidana ke Ranah Perdata/Ketenagakerjaan:**</w:t>
      </w:r>
    </w:p>
    <w:p>
      <w:pPr>
        <w:spacing w:before="0" w:after="80"/>
      </w:pPr>
      <w:r>
        <w:rPr>
          <w:rFonts w:ascii="Arial" w:hAnsi="Arial"/>
          <w:color w:val="475569"/>
          <w:sz w:val="19"/>
        </w:rPr>
        <w:t>Pasal 158 yang memberi hak pengusaha mem-PHK buruh atas dasar "kesalahan berat" dengan pembuktian sepihak (tertangkap tangan, pengakuan buruh, atau laporan 2 orang saksi) mendudukkan pengusaha sekaligus sebagai pelapor, penyidik, penuntut, dan hakim. Hal ini inkonstitusional karena menjatuhkan sanksi perdata yang berat (kehilangan mata pencaharian tanpa hak pesangon) berdasarkan dugaan perbuatan pidana yang belum diuji secara pidana.</w:t>
      </w:r>
    </w:p>
    <w:p>
      <w:pPr>
        <w:spacing w:before="0" w:after="80"/>
      </w:pPr>
      <w:r>
        <w:rPr>
          <w:rFonts w:ascii="Arial" w:hAnsi="Arial"/>
          <w:color w:val="475569"/>
          <w:sz w:val="19"/>
        </w:rPr>
        <w:t>3. **Inkonstitusionalitas Bersyarat dan Mutlak Norma Turunannya:**</w:t>
      </w:r>
    </w:p>
    <w:p>
      <w:pPr>
        <w:spacing w:before="0" w:after="80"/>
      </w:pPr>
      <w:r>
        <w:rPr>
          <w:rFonts w:ascii="Arial" w:hAnsi="Arial"/>
          <w:color w:val="475569"/>
          <w:sz w:val="19"/>
        </w:rPr>
        <w:t>Dinyatakan tidak berlakunya Pasal 158 UU 13/2003 secara mutlak (*null and void*) berakibat pada batal demi hukumnya pasal-pasal aksesori yang menjadikannya sebagai rujukan, yaitu Pasal 159 (gugatan pekerja atas PHK kesalahan berat), Pasal 170, dan Pasal 171 UU Ketenagakerjaan sepanjang menyangkut frasa *kesalahan berat*.</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**Latar Belakang Pengundangan UU 13/2003:**</w:t>
      </w:r>
    </w:p>
    <w:p>
      <w:pPr>
        <w:spacing w:before="0" w:after="80"/>
      </w:pPr>
      <w:r>
        <w:rPr>
          <w:rFonts w:ascii="Arial" w:hAnsi="Arial"/>
          <w:color w:val="475569"/>
          <w:sz w:val="19"/>
        </w:rPr>
        <w:t>Pada tanggal 25 Maret 2003, Pemerintah mengesahkan UU No. 13 Tahun 2003 tentang Ketenagakerjaan. Sejumlah pasal di dalamnya menuai resistensi masif dari serikat pekerja karena dinilai melegalisasi fleksibilitas pasar kerja (*outsourcing*, PKWT yang rentan), membatasi hak mogok kerja, dan mempermudah PHK sepihak tanpa pesangon.</w:t>
      </w:r>
    </w:p>
    <w:p>
      <w:pPr>
        <w:spacing w:before="0" w:after="80"/>
      </w:pPr>
      <w:r>
        <w:rPr>
          <w:rFonts w:ascii="Arial" w:hAnsi="Arial"/>
          <w:color w:val="475569"/>
          <w:sz w:val="19"/>
        </w:rPr>
        <w:t>2. **Materi yang Dimohonkan Uji Materiil:**</w:t>
      </w:r>
    </w:p>
    <w:p>
      <w:pPr>
        <w:spacing w:before="0" w:after="80"/>
      </w:pPr>
      <w:r>
        <w:rPr>
          <w:rFonts w:ascii="Arial" w:hAnsi="Arial"/>
          <w:color w:val="475569"/>
          <w:sz w:val="19"/>
        </w:rPr>
        <w:t>Para Pemohon mendalilkan bahwa **Pasal 158 UU 13/2003** sangat merugikan hak konstitusional kaum buruh. Pasal tersebut merumuskan:</w:t>
      </w:r>
    </w:p>
    <w:p>
      <w:pPr>
        <w:spacing w:before="0" w:after="80"/>
      </w:pPr>
      <w:r>
        <w:rPr>
          <w:rFonts w:ascii="Arial" w:hAnsi="Arial"/>
          <w:color w:val="475569"/>
          <w:sz w:val="19"/>
        </w:rPr>
        <w:t>&gt; *"Pengusaha dapat memutuskan hubungan kerja terhadap pekerja/buruh dengan alasan pekerja/buruh telah melakukan kesalahan berat..."* (antara lain: penipuan, pencurian, penggelapan, memberikan keterangan palsu, mabuk, madat, berbuat asusila/judi di lingkungan kerja, menganiaya rekan kerja/pengusaha, membocorkan rahasia perusahaan).</w:t>
      </w:r>
    </w:p>
    <w:p>
      <w:pPr>
        <w:spacing w:before="0" w:after="80"/>
      </w:pPr>
      <w:r>
        <w:rPr>
          <w:rFonts w:ascii="Arial" w:hAnsi="Arial"/>
          <w:color w:val="475569"/>
          <w:sz w:val="19"/>
        </w:rPr>
        <w:t>&gt;</w:t>
      </w:r>
    </w:p>
    <w:p>
      <w:pPr>
        <w:spacing w:before="0" w:after="80"/>
      </w:pPr>
      <w:r>
        <w:rPr>
          <w:rFonts w:ascii="Arial" w:hAnsi="Arial"/>
          <w:color w:val="475569"/>
          <w:sz w:val="19"/>
        </w:rPr>
        <w:t>&gt; *Kesalahan berat tersebut cukup dibuktikan dengan: (a) pekerja tertangkap tangan; (b) ada pengakuan dari pekerja; atau (c) ada laporan pihak yang berwenang didukung sekurang-kurangnya 2 orang saksi.*</w:t>
      </w:r>
    </w:p>
    <w:p>
      <w:pPr>
        <w:spacing w:before="0" w:after="80"/>
      </w:pPr>
      <w:r>
        <w:rPr>
          <w:rFonts w:ascii="Arial" w:hAnsi="Arial"/>
          <w:color w:val="475569"/>
          <w:sz w:val="19"/>
        </w:rPr>
        <w:t>3. **Dalil-Dalil Kerugian Konstitusional Pemohon:**</w:t>
      </w:r>
    </w:p>
    <w:p>
      <w:pPr>
        <w:spacing w:before="0" w:after="80"/>
      </w:pPr>
      <w:r>
        <w:rPr>
          <w:rFonts w:ascii="Arial" w:hAnsi="Arial"/>
          <w:color w:val="475569"/>
          <w:sz w:val="19"/>
        </w:rPr>
        <w:t>* **Pelanggaran Asas Legalitas dan Hak Asasi Manusia:** Kualifikasi "kesalahan berat" dalam Pasal 158 merupakan delik-delik hukum pidana materiil (*mala in se*). Penentuannya mutlak berada dalam wewenang lembaga peradilan pidana, bukan pengusaha.</w:t>
      </w:r>
    </w:p>
    <w:p>
      <w:pPr>
        <w:spacing w:before="0" w:after="80"/>
      </w:pPr>
      <w:r>
        <w:rPr>
          <w:rFonts w:ascii="Arial" w:hAnsi="Arial"/>
          <w:color w:val="475569"/>
          <w:sz w:val="19"/>
        </w:rPr>
        <w:t>* **Pembalikan Beban Pembuktian yang Tidak Adil (Pasal 159):** Pasal 159 mewajibkan pekerja yang menolak PHK kesalahan berat untuk mengajukan gugatan ke lembaga penyelesaian perselisihan hubungan industrial. Hal ini meletakkan beban pembuktian bahwa dirinya "tidak bersalah" kepada buruh, bertentangan dengan hukum pembuktian universal.</w:t>
      </w:r>
    </w:p>
    <w:p>
      <w:pPr>
        <w:spacing w:before="0" w:after="80"/>
      </w:pPr>
      <w:r>
        <w:rPr>
          <w:rFonts w:ascii="Arial" w:hAnsi="Arial"/>
          <w:color w:val="475569"/>
          <w:sz w:val="19"/>
        </w:rPr>
        <w:t>* **Kerugian Finansial:** Pekerja yang di-PHK atas dasar Pasal 158 kehilangan hak atas Uang Pesangon (UP) dan Uang Penghargaan Masa Kerja (UPMK), dan hanya berhak atas Uang Penggantian Hak (UPH) dan uang pisah (Pasal 158 ayat (3) dan (4)).</w:t>
      </w:r>
    </w:p>
    <w:p>
      <w:pPr>
        <w:spacing w:before="0" w:after="80"/>
      </w:pPr>
      <w:r>
        <w:rPr>
          <w:rFonts w:ascii="Arial" w:hAnsi="Arial"/>
          <w:color w:val="475569"/>
          <w:sz w:val="19"/>
        </w:rPr>
        <w:t>4. **Sikap/Pembelaan Pemerintah dan DPR:**</w:t>
      </w:r>
    </w:p>
    <w:p>
      <w:pPr>
        <w:spacing w:before="0" w:after="80"/>
      </w:pPr>
      <w:r>
        <w:rPr>
          <w:rFonts w:ascii="Arial" w:hAnsi="Arial"/>
          <w:color w:val="475569"/>
          <w:sz w:val="19"/>
        </w:rPr>
        <w:t>Pemerintah mendalilkan bahwa Pasal 158 dibuat semata-mata untuk melindungi kelangsungan usaha dari tindakan destruktif oknum pekerja. Persyaratan pembuktian (tertangkap tangan, pengakuan, 2 saksi) dianggap telah memenuhi prinsip kehati-hatian (*due care*) dan bukan kewenangan yang semena-mena.</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Konstitusi dalam pertimbangan hukumnya membangun konstruksi argumentasi sebagai berikut:</w:t>
      </w:r>
    </w:p>
    <w:p>
      <w:pPr>
        <w:spacing w:before="0" w:after="80"/>
      </w:pPr>
      <w:r>
        <w:rPr>
          <w:rFonts w:ascii="Arial" w:hAnsi="Arial"/>
          <w:color w:val="475569"/>
          <w:sz w:val="19"/>
        </w:rPr>
        <w:t>* **Tinjauan Yuridis Delik dalam Pasal 158 ayat (1):**</w:t>
      </w:r>
    </w:p>
    <w:p>
      <w:pPr>
        <w:spacing w:before="0" w:after="80"/>
      </w:pPr>
      <w:r>
        <w:rPr>
          <w:rFonts w:ascii="Arial" w:hAnsi="Arial"/>
          <w:color w:val="475569"/>
          <w:sz w:val="19"/>
        </w:rPr>
        <w:t>Perbuatan-perbuatan yang dikualifikasikan sebagai "kesalahan berat" (seperti mencuri, menipu, memalsukan dokumen, menganiaya) bukan semata-mata pelanggaran administratif ketenagakerjaan atau wanprestasi perdata, melainkan **tindak pidana kejahatan** yang telah diatur secara komprehensif dalam Kitab Undang-Undang Hukum Pidana (KUHP).</w:t>
      </w:r>
    </w:p>
    <w:p>
      <w:pPr>
        <w:spacing w:before="0" w:after="80"/>
      </w:pPr>
      <w:r>
        <w:rPr>
          <w:rFonts w:ascii="Arial" w:hAnsi="Arial"/>
          <w:color w:val="475569"/>
          <w:sz w:val="19"/>
        </w:rPr>
        <w:t>* **Pertentangan dengan Asas Praduga Tak Bersalah (*Presumption of Innocence*):**</w:t>
      </w:r>
    </w:p>
    <w:p>
      <w:pPr>
        <w:spacing w:before="0" w:after="80"/>
      </w:pPr>
      <w:r>
        <w:rPr>
          <w:rFonts w:ascii="Arial" w:hAnsi="Arial"/>
          <w:color w:val="475569"/>
          <w:sz w:val="19"/>
        </w:rPr>
        <w:t>Mahkamah menegaskan asas fundamental hukum pidana: *"Seseorang dianggap tidak bersalah sampai ada putusan pengadilan yang telah memperoleh kekuatan hukum tetap yang menyatakan kesalahannya"* (diatur dalam Pasal 28D ayat (1) UUD 1945 jo. Penjelasan Umum UU Kekuasaan Kehakiman). Pengusaha yang mem-PHK pekerja atas dasar tuduhan pidana sebelum adanya vonis pengadilan pidana telah merampas fungsi yudikatif dan melanggar hak konstitusional buruh atas kepastian hukum yang adil.</w:t>
      </w:r>
    </w:p>
    <w:p>
      <w:pPr>
        <w:spacing w:before="0" w:after="80"/>
      </w:pPr>
      <w:r>
        <w:rPr>
          <w:rFonts w:ascii="Arial" w:hAnsi="Arial"/>
          <w:color w:val="475569"/>
          <w:sz w:val="19"/>
        </w:rPr>
        <w:t>* **Ketiadaan Batasan Standar Pembuktian:**</w:t>
      </w:r>
    </w:p>
    <w:p>
      <w:pPr>
        <w:spacing w:before="0" w:after="80"/>
      </w:pPr>
      <w:r>
        <w:rPr>
          <w:rFonts w:ascii="Arial" w:hAnsi="Arial"/>
          <w:color w:val="475569"/>
          <w:sz w:val="19"/>
        </w:rPr>
        <w:t>Ukuran "pengakuan dari pekerja" atau "didukung oleh 2 orang saksi" dalam Pasal 158 ayat (2) sangat rentan manipulasi, intimidasi, dan rekayasa di internal manajemen. Pengusaha memiliki relasi kuasa yang dominan (*subordinatif*) terhadap pekerja. Membiarkan pengusaha menilai sendiri keabsahan bukti tindak pidana tanpa mekanisme peradilan pidana yang objektif membuka ruang tirani dan kesewenang-wenangan (*arbitrary dismissal*).</w:t>
      </w:r>
    </w:p>
    <w:p>
      <w:pPr>
        <w:spacing w:before="0" w:after="80"/>
      </w:pPr>
      <w:r>
        <w:rPr>
          <w:rFonts w:ascii="Arial" w:hAnsi="Arial"/>
          <w:color w:val="475569"/>
          <w:sz w:val="19"/>
        </w:rPr>
        <w:t>* **Konsekuensi Sistemik terhadap Pasal Ikutan:**</w:t>
      </w:r>
    </w:p>
    <w:p>
      <w:pPr>
        <w:spacing w:before="0" w:after="80"/>
      </w:pPr>
      <w:r>
        <w:rPr>
          <w:rFonts w:ascii="Arial" w:hAnsi="Arial"/>
          <w:color w:val="475569"/>
          <w:sz w:val="19"/>
        </w:rPr>
        <w:t>* Karena Pasal 158 dinyatakan bertentangan dengan UUD 1945, maka **Pasal 159** (yang mengatur prosedur gugatan perselisihan jika pekerja membantah kesalahan berat) kehilangan ratio essendi-nya dan harus dinyatakan tidak berkekuatan hukum mengikat.</w:t>
      </w:r>
    </w:p>
    <w:p>
      <w:pPr>
        <w:spacing w:before="0" w:after="80"/>
      </w:pPr>
      <w:r>
        <w:rPr>
          <w:rFonts w:ascii="Arial" w:hAnsi="Arial"/>
          <w:color w:val="475569"/>
          <w:sz w:val="19"/>
        </w:rPr>
        <w:t>* Ketentuan **Pasal 160 ayat (1)** terkait penahanan pekerja oleh pihak berwajib harus dibatasi agar pengusaha tidak serta-merta melakukan PHK sebelum adanya putusan pidana yang berkekuatan hukum tetap, melainkan hanya dapat melakukan skorsing atau bantuan finansial sementara.</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putusannya, Mahkamah Konstitusi memutus:</w:t>
      </w:r>
    </w:p>
    <w:p>
      <w:pPr>
        <w:spacing w:before="0" w:after="80"/>
      </w:pPr>
      <w:r>
        <w:rPr>
          <w:rFonts w:ascii="Arial" w:hAnsi="Arial"/>
          <w:color w:val="475569"/>
          <w:sz w:val="19"/>
        </w:rPr>
        <w:t>**MENGADILI:**</w:t>
      </w:r>
    </w:p>
    <w:p>
      <w:pPr>
        <w:spacing w:before="0" w:after="80"/>
      </w:pPr>
      <w:r>
        <w:rPr>
          <w:rFonts w:ascii="Arial" w:hAnsi="Arial"/>
          <w:color w:val="475569"/>
          <w:sz w:val="19"/>
        </w:rPr>
        <w:t>1. **Mengabulkan** permohonan para Pemohon untuk sebagian;</w:t>
      </w:r>
    </w:p>
    <w:p>
      <w:pPr>
        <w:spacing w:before="0" w:after="80"/>
      </w:pPr>
      <w:r>
        <w:rPr>
          <w:rFonts w:ascii="Arial" w:hAnsi="Arial"/>
          <w:color w:val="475569"/>
          <w:sz w:val="19"/>
        </w:rPr>
        <w:t>2. **Menyatakan:**</w:t>
      </w:r>
    </w:p>
    <w:p>
      <w:pPr>
        <w:spacing w:before="0" w:after="80"/>
      </w:pPr>
      <w:r>
        <w:rPr>
          <w:rFonts w:ascii="Arial" w:hAnsi="Arial"/>
          <w:color w:val="475569"/>
          <w:sz w:val="19"/>
        </w:rPr>
        <w:t>* **Pasal 158**;</w:t>
      </w:r>
    </w:p>
    <w:p>
      <w:pPr>
        <w:spacing w:before="0" w:after="80"/>
      </w:pPr>
      <w:r>
        <w:rPr>
          <w:rFonts w:ascii="Arial" w:hAnsi="Arial"/>
          <w:color w:val="475569"/>
          <w:sz w:val="19"/>
        </w:rPr>
        <w:t>* **Pasal 159**;</w:t>
      </w:r>
    </w:p>
    <w:p>
      <w:pPr>
        <w:spacing w:before="0" w:after="80"/>
      </w:pPr>
      <w:r>
        <w:rPr>
          <w:rFonts w:ascii="Arial" w:hAnsi="Arial"/>
          <w:color w:val="475569"/>
          <w:sz w:val="19"/>
        </w:rPr>
        <w:t>* **Pasal 160 ayat (1)** sepanjang menyangkut anak kalimat *"…bukan atas pengaduan pengusaha…;"*;</w:t>
      </w:r>
    </w:p>
    <w:p>
      <w:pPr>
        <w:spacing w:before="0" w:after="80"/>
      </w:pPr>
      <w:r>
        <w:rPr>
          <w:rFonts w:ascii="Arial" w:hAnsi="Arial"/>
          <w:color w:val="475569"/>
          <w:sz w:val="19"/>
        </w:rPr>
        <w:t>* **Pasal 170** sepanjang menyangkut anak kalimat *"…Pasal 158 ayat (1)…;"*;</w:t>
      </w:r>
    </w:p>
    <w:p>
      <w:pPr>
        <w:spacing w:before="0" w:after="80"/>
      </w:pPr>
      <w:r>
        <w:rPr>
          <w:rFonts w:ascii="Arial" w:hAnsi="Arial"/>
          <w:color w:val="475569"/>
          <w:sz w:val="19"/>
        </w:rPr>
        <w:t>* **Pasal 171** sepanjang menyangkut anak kalimat *"…Pasal 158 ayat (1)…;"*;</w:t>
      </w:r>
    </w:p>
    <w:p>
      <w:pPr>
        <w:spacing w:before="0" w:after="80"/>
      </w:pPr>
      <w:r>
        <w:rPr>
          <w:rFonts w:ascii="Arial" w:hAnsi="Arial"/>
          <w:color w:val="475569"/>
          <w:sz w:val="19"/>
        </w:rPr>
        <w:t>* **Pasal 186** sepanjang menyangkut anak kalimat *"…Pasal 137 dan Pasal 138 ayat (1)…;"*</w:t>
      </w:r>
    </w:p>
    <w:p>
      <w:pPr>
        <w:spacing w:before="0" w:after="80"/>
      </w:pPr>
      <w:r>
        <w:rPr>
          <w:rFonts w:ascii="Arial" w:hAnsi="Arial"/>
          <w:color w:val="475569"/>
          <w:sz w:val="19"/>
        </w:rPr>
        <w:t>**Undang-Undang Nomor 13 Tahun 2003 tentang Ketenagakerjaan bertentangan dengan Undang-Undang Dasar Negara Republik Indonesia Tahun 1945;**</w:t>
      </w:r>
    </w:p>
    <w:p>
      <w:pPr>
        <w:spacing w:before="0" w:after="80"/>
      </w:pPr>
      <w:r>
        <w:rPr>
          <w:rFonts w:ascii="Arial" w:hAnsi="Arial"/>
          <w:color w:val="475569"/>
          <w:sz w:val="19"/>
        </w:rPr>
        <w:t>3. **Menyatakan:**</w:t>
      </w:r>
    </w:p>
    <w:p>
      <w:pPr>
        <w:spacing w:before="0" w:after="80"/>
      </w:pPr>
      <w:r>
        <w:rPr>
          <w:rFonts w:ascii="Arial" w:hAnsi="Arial"/>
          <w:color w:val="475569"/>
          <w:sz w:val="19"/>
        </w:rPr>
        <w:t>Ketentuan pasal-pasal dan anak-anak kalimat dalam Undang-Undang Nomor 13 Tahun 2003 tentang Ketenagakerjaan sebagaimana disebutkan pada angka 2 di atas **TIDAK MEMPUNYAI KEKUATAN HUKUM MENGIKAT**;</w:t>
      </w:r>
    </w:p>
    <w:p>
      <w:pPr>
        <w:spacing w:before="0" w:after="80"/>
      </w:pPr>
      <w:r>
        <w:rPr>
          <w:rFonts w:ascii="Arial" w:hAnsi="Arial"/>
          <w:color w:val="475569"/>
          <w:sz w:val="19"/>
        </w:rPr>
        <w:t>4. **Menolak** permohonan para Pemohon untuk selebihnya.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Pasca Putusan MK No. 012/PUU-I/2003, lanskap hukum ketenagakerjaan Indonesia mengalami pergeseran paradigma operasional:</w:t>
      </w:r>
    </w:p>
    <w:p>
      <w:pPr>
        <w:spacing w:before="0" w:after="80"/>
      </w:pPr>
      <w:r>
        <w:rPr>
          <w:rFonts w:ascii="Arial" w:hAnsi="Arial"/>
          <w:color w:val="475569"/>
          <w:sz w:val="19"/>
        </w:rPr>
        <w:t>1. **Terbitnya Surat Edaran Menakertrans No. SE-13/MEN/SJ-HK/I/2005:**</w:t>
      </w:r>
    </w:p>
    <w:p>
      <w:pPr>
        <w:spacing w:before="0" w:after="80"/>
      </w:pPr>
      <w:r>
        <w:rPr>
          <w:rFonts w:ascii="Arial" w:hAnsi="Arial"/>
          <w:color w:val="475569"/>
          <w:sz w:val="19"/>
        </w:rPr>
        <w:t>Untuk mengisi kekosongan hukum (*rechtsvacuum*) pasca pembatalan Pasal 158, Menakertrans menerbitkan SE yang menginstruksikan:</w:t>
      </w:r>
    </w:p>
    <w:p>
      <w:pPr>
        <w:spacing w:before="0" w:after="80"/>
      </w:pPr>
      <w:r>
        <w:rPr>
          <w:rFonts w:ascii="Arial" w:hAnsi="Arial"/>
          <w:color w:val="475569"/>
          <w:sz w:val="19"/>
        </w:rPr>
        <w:t>* Pengusaha yang hendak mem-PHK pekerja atas tuduhan kesalahan berat pidana **wajib menunggu putusan pengadilan pidana berkekuatan hukum tetap (*in kracht*)**.</w:t>
      </w:r>
    </w:p>
    <w:p>
      <w:pPr>
        <w:spacing w:before="0" w:after="80"/>
      </w:pPr>
      <w:r>
        <w:rPr>
          <w:rFonts w:ascii="Arial" w:hAnsi="Arial"/>
          <w:color w:val="475569"/>
          <w:sz w:val="19"/>
        </w:rPr>
        <w:t>* Jika pekerja tidak ditahan, PHK tetap harus mengikuti mekanisme perizinan/PHI biasa (Pasal 151, 152 UU 13/2003).</w:t>
      </w:r>
    </w:p>
    <w:p>
      <w:pPr>
        <w:spacing w:before="0" w:after="80"/>
      </w:pPr>
      <w:r>
        <w:rPr>
          <w:rFonts w:ascii="Arial" w:hAnsi="Arial"/>
          <w:color w:val="475569"/>
          <w:sz w:val="19"/>
        </w:rPr>
        <w:t>* Kesalahan berat non-pidana (pelanggaran murni SOP/tata tertib) dialihkan penyelesaiannya melalui mekanisme **Surat Peringatan Pertama, Kedua, dan Ketiga (SP 1, 2, 3)** sesuai Perjanjian Kerja (PK), Peraturan Perusahaan (PP), atau Perjanjian Kerja Bersama (PKB).</w:t>
      </w:r>
    </w:p>
    <w:p>
      <w:pPr>
        <w:spacing w:before="0" w:after="80"/>
      </w:pPr>
      <w:r>
        <w:rPr>
          <w:rFonts w:ascii="Arial" w:hAnsi="Arial"/>
          <w:color w:val="475569"/>
          <w:sz w:val="19"/>
        </w:rPr>
        <w:t>2. **Dampak pada Perancangan Kontrak Bisnis &amp; PP/PKB:**</w:t>
      </w:r>
    </w:p>
    <w:p>
      <w:pPr>
        <w:spacing w:before="0" w:after="80"/>
      </w:pPr>
      <w:r>
        <w:rPr>
          <w:rFonts w:ascii="Arial" w:hAnsi="Arial"/>
          <w:color w:val="475569"/>
          <w:sz w:val="19"/>
        </w:rPr>
        <w:t>* **Klausul Terminasi Seketika:** Korporasi tidak lagi dapat mencantumkan klausul "PHK sepihak seketika tanpa kompensasi" semata-mata atas dugaan tindak pidana.</w:t>
      </w:r>
    </w:p>
    <w:p>
      <w:pPr>
        <w:spacing w:before="0" w:after="80"/>
      </w:pPr>
      <w:r>
        <w:rPr>
          <w:rFonts w:ascii="Arial" w:hAnsi="Arial"/>
          <w:color w:val="475569"/>
          <w:sz w:val="19"/>
        </w:rPr>
        <w:t>* **Redefinisi Pelanggaran:** HRD dan *Legal Corporate* harus mendesain klausul "Pelanggaran Bersifat Mendesak" yang membedakan antara wanprestasi/pelanggaran berat administratif (misal: mangkir berulang, insubordinasi) dengan tindak pidana murni (pencurian/penggelapan).</w:t>
      </w:r>
    </w:p>
    <w:p>
      <w:pPr>
        <w:spacing w:before="0" w:after="80"/>
      </w:pPr>
      <w:r>
        <w:rPr>
          <w:rFonts w:ascii="Arial" w:hAnsi="Arial"/>
          <w:color w:val="475569"/>
          <w:sz w:val="19"/>
        </w:rPr>
        <w:t>3. **Strategi Litigasi Ketenagakerjaan bagi Advokat:**</w:t>
      </w:r>
    </w:p>
    <w:p>
      <w:pPr>
        <w:spacing w:before="0" w:after="80"/>
      </w:pPr>
      <w:r>
        <w:rPr>
          <w:rFonts w:ascii="Arial" w:hAnsi="Arial"/>
          <w:color w:val="475569"/>
          <w:sz w:val="19"/>
        </w:rPr>
        <w:t>* Jika perusahaan mendapati buruh mencuri/menggelapkan aset, opsi korporasi adalah:</w:t>
      </w:r>
    </w:p>
    <w:p>
      <w:pPr>
        <w:spacing w:before="0" w:after="80"/>
      </w:pPr>
      <w:r>
        <w:rPr>
          <w:rFonts w:ascii="Arial" w:hAnsi="Arial"/>
          <w:color w:val="475569"/>
          <w:sz w:val="19"/>
        </w:rPr>
        <w:t>1. Menempuh jalur Laporan Polisi, merumahkan pekerja (*skorsing* dengan pembayaran upah skorsing), dan memproses PHK setelah vonis pidana *in kracht*; atau</w:t>
      </w:r>
    </w:p>
    <w:p>
      <w:pPr>
        <w:spacing w:before="0" w:after="80"/>
      </w:pPr>
      <w:r>
        <w:rPr>
          <w:rFonts w:ascii="Arial" w:hAnsi="Arial"/>
          <w:color w:val="475569"/>
          <w:sz w:val="19"/>
        </w:rPr>
        <w:t>2. Menempuh jalur Perjanjian Bersama (PB) / Bipartit secara sukarela di mana buruh setuju mengundurkan diri secara baik-baik tanpa memproses ranah pidana (*restorative justice approach*).</w:t>
      </w:r>
    </w:p>
    <w:p>
      <w:pPr>
        <w:spacing w:before="0" w:after="80"/>
      </w:pPr>
      <w:r>
        <w:rPr>
          <w:rFonts w:ascii="Arial" w:hAnsi="Arial"/>
          <w:color w:val="475569"/>
          <w:sz w:val="19"/>
        </w:rPr>
        <w:t>4. **Korelasinya dengan Rezim UU Cipta Kerja (PP No. 35 Tahun 2021):**</w:t>
      </w:r>
    </w:p>
    <w:p>
      <w:pPr>
        <w:spacing w:before="0" w:after="80"/>
      </w:pPr>
      <w:r>
        <w:rPr>
          <w:rFonts w:ascii="Arial" w:hAnsi="Arial"/>
          <w:color w:val="475569"/>
          <w:sz w:val="19"/>
        </w:rPr>
        <w:t>* Putusan MK ini menjadi batu uji fundamental yang membatasi regulasi turunan UU Cipta Kerja. Pasal 52 ayat (2) PP No. 35/2021 merevitalisasi terminologi **"Pelanggaran Bersifat Mendesak"** sebagai dasar PHK, namun tetap harus dirumuskan secara rigid dalam PK, PP, atau PKB serta memperhatikan kepatuhan terhadap hak-hak dasar pekerja agar tidak mengulang inkonstitusionalitas Pasal 158 UU 13/2003.</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**Undang-Undang Dasar Negara Republik Indonesia Tahun 1945:**</w:t>
      </w:r>
    </w:p>
    <w:p>
      <w:pPr>
        <w:spacing w:before="0" w:after="80"/>
      </w:pPr>
      <w:r>
        <w:rPr>
          <w:rFonts w:ascii="Arial" w:hAnsi="Arial"/>
          <w:color w:val="475569"/>
          <w:sz w:val="19"/>
        </w:rPr>
        <w:t>* **Pasal 27 ayat (1):** Persamaan kedudukan warga negara di dalam hukum dan pemerintahan.</w:t>
      </w:r>
    </w:p>
    <w:p>
      <w:pPr>
        <w:spacing w:before="0" w:after="80"/>
      </w:pPr>
      <w:r>
        <w:rPr>
          <w:rFonts w:ascii="Arial" w:hAnsi="Arial"/>
          <w:color w:val="475569"/>
          <w:sz w:val="19"/>
        </w:rPr>
        <w:t>* **Pasal 28D ayat (1):** Hak atas pengakuan, jaminan, perlindungan, dan kepastian hukum yang adil serta perlakuan yang sama di hadapan hukum.</w:t>
      </w:r>
    </w:p>
    <w:p>
      <w:pPr>
        <w:spacing w:before="0" w:after="80"/>
      </w:pPr>
      <w:r>
        <w:rPr>
          <w:rFonts w:ascii="Arial" w:hAnsi="Arial"/>
          <w:color w:val="475569"/>
          <w:sz w:val="19"/>
        </w:rPr>
        <w:t>* **Pasal 28D ayat (2):** Hak untuk bekerja serta mendapat imbalan dan perlakuan yang adil dan layak dalam hubungan kerja.</w:t>
      </w:r>
    </w:p>
    <w:p>
      <w:pPr>
        <w:spacing w:before="0" w:after="80"/>
      </w:pPr>
      <w:r>
        <w:rPr>
          <w:rFonts w:ascii="Arial" w:hAnsi="Arial"/>
          <w:color w:val="475569"/>
          <w:sz w:val="19"/>
        </w:rPr>
        <w:t>* **Undang-Undang Nomor 13 Tahun 2003 tentang Ketenagakerjaan:**</w:t>
      </w:r>
    </w:p>
    <w:p>
      <w:pPr>
        <w:spacing w:before="0" w:after="80"/>
      </w:pPr>
      <w:r>
        <w:rPr>
          <w:rFonts w:ascii="Arial" w:hAnsi="Arial"/>
          <w:color w:val="475569"/>
          <w:sz w:val="19"/>
        </w:rPr>
        <w:t>* **Pasal 158:** *(Dibatalkan mutlak oleh MK)*;</w:t>
      </w:r>
    </w:p>
    <w:p>
      <w:pPr>
        <w:spacing w:before="0" w:after="80"/>
      </w:pPr>
      <w:r>
        <w:rPr>
          <w:rFonts w:ascii="Arial" w:hAnsi="Arial"/>
          <w:color w:val="475569"/>
          <w:sz w:val="19"/>
        </w:rPr>
        <w:t>* **Pasal 159, 160 ayat (1), 170, 171:** *(Dibatalkan sebagian/bersyarat)*;</w:t>
      </w:r>
    </w:p>
    <w:p>
      <w:pPr>
        <w:spacing w:before="0" w:after="80"/>
      </w:pPr>
      <w:r>
        <w:rPr>
          <w:rFonts w:ascii="Arial" w:hAnsi="Arial"/>
          <w:color w:val="475569"/>
          <w:sz w:val="19"/>
        </w:rPr>
        <w:t>* **Pasal 161:** Mekanisme PHK bertahap melalui SP 1, SP 2, dan SP 3.</w:t>
      </w:r>
    </w:p>
    <w:p>
      <w:pPr>
        <w:spacing w:before="0" w:after="80"/>
      </w:pPr>
      <w:r>
        <w:rPr>
          <w:rFonts w:ascii="Arial" w:hAnsi="Arial"/>
          <w:color w:val="475569"/>
          <w:sz w:val="19"/>
        </w:rPr>
        <w:t>* **Undang-Undang Nomor 4 Tahun 2004 / UU Nomor 48 Tahun 2009 tentang Kekuasaan Kehakiman:**</w:t>
      </w:r>
    </w:p>
    <w:p>
      <w:pPr>
        <w:spacing w:before="0" w:after="80"/>
      </w:pPr>
      <w:r>
        <w:rPr>
          <w:rFonts w:ascii="Arial" w:hAnsi="Arial"/>
          <w:color w:val="475569"/>
          <w:sz w:val="19"/>
        </w:rPr>
        <w:t>* **Pasal 8 ayat (1):** Asas praduga tak bersalah (*Presumption of innocence*).</w:t>
      </w:r>
    </w:p>
    <w:p>
      <w:pPr>
        <w:spacing w:before="0" w:after="80"/>
      </w:pPr>
      <w:r>
        <w:rPr>
          <w:rFonts w:ascii="Arial" w:hAnsi="Arial"/>
          <w:color w:val="475569"/>
          <w:sz w:val="19"/>
        </w:rPr>
        <w:t>* **Kitab Undang-Undang Hukum Pidana (KUHP):**</w:t>
      </w:r>
    </w:p>
    <w:p>
      <w:pPr>
        <w:spacing w:before="0" w:after="80"/>
      </w:pPr>
      <w:r>
        <w:rPr>
          <w:rFonts w:ascii="Arial" w:hAnsi="Arial"/>
          <w:color w:val="475569"/>
          <w:sz w:val="19"/>
        </w:rPr>
        <w:t>* Pasal-pasal yang ditarik menjadi kualifikasi "kesalahan berat" (Pasal 362 KUHP tentang Pencurian, Pasal 372 KUHP tentang Penggelapan, Pasal 378 KUHP tentang Penipuan, Pasal 351 KUHP tentang Penganiayaan).</w:t>
      </w:r>
    </w:p>
    <w:p>
      <w:pPr>
        <w:spacing w:before="0" w:after="80"/>
      </w:pPr>
      <w:r>
        <w:rPr>
          <w:rFonts w:ascii="Arial" w:hAnsi="Arial"/>
          <w:color w:val="475569"/>
          <w:sz w:val="19"/>
        </w:rPr>
        <w:t>* **Regulasi Pelaksana Terkait:**</w:t>
      </w:r>
    </w:p>
    <w:p>
      <w:pPr>
        <w:spacing w:before="0" w:after="80"/>
      </w:pPr>
      <w:r>
        <w:rPr>
          <w:rFonts w:ascii="Arial" w:hAnsi="Arial"/>
          <w:color w:val="475569"/>
          <w:sz w:val="19"/>
        </w:rPr>
        <w:t>* **Surat Edaran Menakertrans RI No. SE-13/MEN/SJ-HK/I/2005** tentang Petunjuk Penyelesaian Pemutusan Hubungan Kerja dan Penetapan Uang Pesangon, Uang Penghargaan Masa Kerja, dan Ganti Kerugian Pasca Putusan Mahkamah Konstitusi.</w:t>
      </w:r>
    </w:p>
    <w:p>
      <w:pPr>
        <w:spacing w:before="0" w:after="80"/>
      </w:pPr>
      <w:r>
        <w:rPr>
          <w:rFonts w:ascii="Arial" w:hAnsi="Arial"/>
          <w:color w:val="475569"/>
          <w:sz w:val="19"/>
        </w:rPr>
        <w:t>* **Peraturan Pemerintah Nomor 35 Tahun 2021** tentang PKWT, Alih Daya, Waktu Kerja dan Waktu Istirahat, dan PHK (Pasal 52 tentang PHK karena Pelanggaran Bersifat Mendesak).</w:t>
      </w:r>
    </w:p>
    <w:p>
      <w:pPr>
        <w:spacing w:before="320" w:after="80"/>
      </w:pPr>
      <w:r>
        <w:rPr>
          <w:rFonts w:ascii="Arial" w:hAnsi="Arial"/>
          <w:i/>
          <w:color w:val="64748B"/>
          <w:sz w:val="17"/>
        </w:rPr>
        <w:t>Official Source: Kepaniteraan MK RI (https://www.mkri.id/index.php?page=web.Putusan&amp;id=101)</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